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3.xml" ContentType="application/vnd.openxmlformats-officedocument.wordprocessingml.footer+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2ED70" w14:textId="77777777" w:rsidR="00216BD5" w:rsidRDefault="00216BD5" w:rsidP="00216BD5">
      <w:pPr>
        <w:jc w:val="center"/>
        <w:rPr>
          <w:b/>
          <w:bCs/>
          <w:sz w:val="72"/>
          <w:szCs w:val="72"/>
        </w:rPr>
      </w:pPr>
      <w:r>
        <w:rPr>
          <w:b/>
          <w:bCs/>
          <w:noProof/>
          <w:sz w:val="72"/>
          <w:szCs w:val="72"/>
        </w:rPr>
        <w:drawing>
          <wp:anchor distT="0" distB="0" distL="114300" distR="114300" simplePos="0" relativeHeight="251659264" behindDoc="1" locked="0" layoutInCell="1" allowOverlap="1" wp14:anchorId="371F7C56" wp14:editId="4DF1B97F">
            <wp:simplePos x="0" y="0"/>
            <wp:positionH relativeFrom="column">
              <wp:posOffset>156845</wp:posOffset>
            </wp:positionH>
            <wp:positionV relativeFrom="paragraph">
              <wp:posOffset>-111760</wp:posOffset>
            </wp:positionV>
            <wp:extent cx="5467350" cy="5695950"/>
            <wp:effectExtent l="0" t="0" r="0" b="0"/>
            <wp:wrapNone/>
            <wp:docPr id="3" name="Obrázok 3" descr="C:\Users\Internet\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et\Desktop\Bez názvu.pn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67350" cy="569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BB5E8" w14:textId="77777777" w:rsidR="00216BD5" w:rsidRDefault="00216BD5" w:rsidP="00216BD5">
      <w:pPr>
        <w:jc w:val="center"/>
        <w:rPr>
          <w:b/>
          <w:bCs/>
          <w:sz w:val="72"/>
          <w:szCs w:val="72"/>
        </w:rPr>
      </w:pPr>
    </w:p>
    <w:p w14:paraId="481E656A" w14:textId="77777777" w:rsidR="00216BD5" w:rsidRDefault="00216BD5" w:rsidP="00216BD5">
      <w:pPr>
        <w:jc w:val="center"/>
        <w:rPr>
          <w:b/>
          <w:bCs/>
          <w:sz w:val="72"/>
          <w:szCs w:val="72"/>
        </w:rPr>
      </w:pPr>
    </w:p>
    <w:p w14:paraId="51256F12" w14:textId="77777777" w:rsidR="00216BD5" w:rsidRDefault="00216BD5" w:rsidP="00216BD5">
      <w:pPr>
        <w:jc w:val="center"/>
        <w:rPr>
          <w:b/>
          <w:bCs/>
          <w:sz w:val="72"/>
          <w:szCs w:val="72"/>
        </w:rPr>
      </w:pPr>
    </w:p>
    <w:p w14:paraId="2422DE08" w14:textId="77777777" w:rsidR="00216BD5" w:rsidRPr="00B16C64" w:rsidRDefault="00216BD5" w:rsidP="00216BD5">
      <w:pPr>
        <w:jc w:val="center"/>
        <w:rPr>
          <w:b/>
          <w:bCs/>
          <w:sz w:val="72"/>
          <w:szCs w:val="72"/>
        </w:rPr>
      </w:pPr>
      <w:r w:rsidRPr="00B16C64">
        <w:rPr>
          <w:b/>
          <w:bCs/>
          <w:sz w:val="72"/>
          <w:szCs w:val="72"/>
        </w:rPr>
        <w:t>Výročná správa</w:t>
      </w:r>
    </w:p>
    <w:p w14:paraId="68ACA03C" w14:textId="77777777" w:rsidR="00216BD5" w:rsidRDefault="00216BD5" w:rsidP="00216BD5">
      <w:pPr>
        <w:spacing w:line="276" w:lineRule="auto"/>
        <w:jc w:val="center"/>
        <w:rPr>
          <w:b/>
          <w:bCs/>
          <w:sz w:val="52"/>
          <w:szCs w:val="52"/>
        </w:rPr>
      </w:pPr>
      <w:r w:rsidRPr="00B16C64">
        <w:rPr>
          <w:b/>
          <w:bCs/>
          <w:sz w:val="52"/>
          <w:szCs w:val="52"/>
        </w:rPr>
        <w:t>finančnej</w:t>
      </w:r>
      <w:r>
        <w:rPr>
          <w:b/>
          <w:bCs/>
          <w:sz w:val="40"/>
          <w:szCs w:val="40"/>
        </w:rPr>
        <w:t xml:space="preserve"> </w:t>
      </w:r>
      <w:r>
        <w:rPr>
          <w:b/>
          <w:bCs/>
          <w:sz w:val="52"/>
          <w:szCs w:val="52"/>
        </w:rPr>
        <w:t>spravodajskej jednotky</w:t>
      </w:r>
    </w:p>
    <w:p w14:paraId="418C1B01" w14:textId="77777777" w:rsidR="00216BD5" w:rsidRDefault="00216BD5" w:rsidP="00216BD5">
      <w:pPr>
        <w:spacing w:line="276" w:lineRule="auto"/>
        <w:jc w:val="center"/>
        <w:rPr>
          <w:bCs/>
          <w:sz w:val="24"/>
          <w:szCs w:val="24"/>
        </w:rPr>
      </w:pPr>
      <w:r>
        <w:rPr>
          <w:b/>
          <w:bCs/>
          <w:sz w:val="56"/>
          <w:szCs w:val="56"/>
        </w:rPr>
        <w:t xml:space="preserve">za rok </w:t>
      </w:r>
      <w:r w:rsidRPr="00B16C64">
        <w:rPr>
          <w:b/>
          <w:bCs/>
          <w:sz w:val="56"/>
          <w:szCs w:val="56"/>
        </w:rPr>
        <w:t>2014</w:t>
      </w:r>
    </w:p>
    <w:p w14:paraId="36F4BCD9" w14:textId="77777777" w:rsidR="00216BD5" w:rsidRDefault="00216BD5" w:rsidP="00216BD5">
      <w:pPr>
        <w:tabs>
          <w:tab w:val="center" w:pos="851"/>
          <w:tab w:val="center" w:pos="7513"/>
        </w:tabs>
        <w:spacing w:after="160" w:line="259" w:lineRule="auto"/>
        <w:jc w:val="left"/>
        <w:rPr>
          <w:b/>
          <w:sz w:val="28"/>
          <w:szCs w:val="28"/>
        </w:rPr>
        <w:sectPr w:rsidR="00216BD5" w:rsidSect="0004661D">
          <w:footerReference w:type="default" r:id="rId13"/>
          <w:headerReference w:type="first" r:id="rId14"/>
          <w:footerReference w:type="first" r:id="rId15"/>
          <w:pgSz w:w="11906" w:h="16838" w:code="9"/>
          <w:pgMar w:top="1418" w:right="1418" w:bottom="1134" w:left="1418" w:header="709" w:footer="709" w:gutter="0"/>
          <w:cols w:space="708"/>
          <w:vAlign w:val="center"/>
          <w:titlePg/>
          <w:docGrid w:linePitch="360"/>
        </w:sectPr>
      </w:pPr>
    </w:p>
    <w:p w14:paraId="65FD8F3F" w14:textId="77777777" w:rsidR="00216BD5" w:rsidRPr="00EE172F" w:rsidRDefault="00216BD5" w:rsidP="00216BD5">
      <w:pPr>
        <w:pStyle w:val="Nzovkapitoly"/>
        <w:rPr>
          <w:sz w:val="32"/>
          <w:szCs w:val="32"/>
        </w:rPr>
      </w:pPr>
      <w:bookmarkStart w:id="0" w:name="_Toc412466381"/>
      <w:r w:rsidRPr="00EE172F">
        <w:rPr>
          <w:sz w:val="32"/>
          <w:szCs w:val="32"/>
        </w:rPr>
        <w:lastRenderedPageBreak/>
        <w:t>OBSAH</w:t>
      </w:r>
      <w:bookmarkEnd w:id="0"/>
    </w:p>
    <w:p w14:paraId="4B6D497D" w14:textId="77777777" w:rsidR="00216BD5" w:rsidRPr="009A74BE" w:rsidRDefault="00216BD5" w:rsidP="00216BD5">
      <w:pPr>
        <w:pStyle w:val="Obsah1"/>
        <w:spacing w:after="120" w:line="560" w:lineRule="exact"/>
        <w:rPr>
          <w:rFonts w:asciiTheme="minorHAnsi" w:eastAsiaTheme="minorEastAsia" w:hAnsiTheme="minorHAnsi" w:cstheme="minorBidi"/>
          <w:b w:val="0"/>
          <w:szCs w:val="24"/>
        </w:rPr>
      </w:pPr>
      <w:r w:rsidRPr="009A74BE">
        <w:rPr>
          <w:szCs w:val="24"/>
        </w:rPr>
        <w:fldChar w:fldCharType="begin"/>
      </w:r>
      <w:r w:rsidRPr="009A74BE">
        <w:rPr>
          <w:szCs w:val="24"/>
        </w:rPr>
        <w:instrText xml:space="preserve"> TOC \h \z \t "Názov kapitoly;1;Podnadpis;2" </w:instrText>
      </w:r>
      <w:r w:rsidRPr="009A74BE">
        <w:rPr>
          <w:szCs w:val="24"/>
        </w:rPr>
        <w:fldChar w:fldCharType="separate"/>
      </w:r>
    </w:p>
    <w:p w14:paraId="3AA925F0" w14:textId="77777777" w:rsidR="00216BD5" w:rsidRPr="009A74BE" w:rsidRDefault="006703BB" w:rsidP="00216BD5">
      <w:pPr>
        <w:pStyle w:val="Obsah1"/>
        <w:spacing w:after="120" w:line="560" w:lineRule="exact"/>
        <w:rPr>
          <w:rFonts w:asciiTheme="minorHAnsi" w:eastAsiaTheme="minorEastAsia" w:hAnsiTheme="minorHAnsi" w:cstheme="minorBidi"/>
          <w:b w:val="0"/>
          <w:szCs w:val="24"/>
        </w:rPr>
      </w:pPr>
      <w:hyperlink w:anchor="_Toc412466382" w:history="1">
        <w:r w:rsidR="00216BD5" w:rsidRPr="009A74BE">
          <w:rPr>
            <w:rStyle w:val="Hypertextovprepojenie"/>
            <w:szCs w:val="24"/>
          </w:rPr>
          <w:t>Úvod</w:t>
        </w:r>
        <w:r w:rsidR="00216BD5" w:rsidRPr="009A74BE">
          <w:rPr>
            <w:webHidden/>
            <w:szCs w:val="24"/>
          </w:rPr>
          <w:tab/>
        </w:r>
        <w:r w:rsidR="00216BD5" w:rsidRPr="009A74BE">
          <w:rPr>
            <w:webHidden/>
            <w:szCs w:val="24"/>
          </w:rPr>
          <w:fldChar w:fldCharType="begin"/>
        </w:r>
        <w:r w:rsidR="00216BD5" w:rsidRPr="009A74BE">
          <w:rPr>
            <w:webHidden/>
            <w:szCs w:val="24"/>
          </w:rPr>
          <w:instrText xml:space="preserve"> PAGEREF _Toc412466382 \h </w:instrText>
        </w:r>
        <w:r w:rsidR="00216BD5" w:rsidRPr="009A74BE">
          <w:rPr>
            <w:webHidden/>
            <w:szCs w:val="24"/>
          </w:rPr>
        </w:r>
        <w:r w:rsidR="00216BD5" w:rsidRPr="009A74BE">
          <w:rPr>
            <w:webHidden/>
            <w:szCs w:val="24"/>
          </w:rPr>
          <w:fldChar w:fldCharType="separate"/>
        </w:r>
        <w:r w:rsidR="007C3FD8">
          <w:rPr>
            <w:webHidden/>
            <w:szCs w:val="24"/>
          </w:rPr>
          <w:t>3</w:t>
        </w:r>
        <w:r w:rsidR="00216BD5" w:rsidRPr="009A74BE">
          <w:rPr>
            <w:webHidden/>
            <w:szCs w:val="24"/>
          </w:rPr>
          <w:fldChar w:fldCharType="end"/>
        </w:r>
      </w:hyperlink>
    </w:p>
    <w:p w14:paraId="062146C0" w14:textId="77777777" w:rsidR="00216BD5" w:rsidRPr="009A74BE" w:rsidRDefault="006703BB" w:rsidP="00216BD5">
      <w:pPr>
        <w:pStyle w:val="Obsah1"/>
        <w:spacing w:after="120" w:line="560" w:lineRule="exact"/>
        <w:rPr>
          <w:rFonts w:asciiTheme="minorHAnsi" w:eastAsiaTheme="minorEastAsia" w:hAnsiTheme="minorHAnsi" w:cstheme="minorBidi"/>
          <w:b w:val="0"/>
          <w:szCs w:val="24"/>
        </w:rPr>
      </w:pPr>
      <w:hyperlink w:anchor="_Toc412466383" w:history="1">
        <w:r w:rsidR="00216BD5" w:rsidRPr="009A74BE">
          <w:rPr>
            <w:rStyle w:val="Hypertextovprepojenie"/>
            <w:szCs w:val="24"/>
          </w:rPr>
          <w:t>1. Charakteristika, legislatívny rámec a členenie FSJ</w:t>
        </w:r>
        <w:r w:rsidR="00216BD5" w:rsidRPr="009A74BE">
          <w:rPr>
            <w:webHidden/>
            <w:szCs w:val="24"/>
          </w:rPr>
          <w:tab/>
        </w:r>
        <w:r w:rsidR="00216BD5" w:rsidRPr="009A74BE">
          <w:rPr>
            <w:webHidden/>
            <w:szCs w:val="24"/>
          </w:rPr>
          <w:fldChar w:fldCharType="begin"/>
        </w:r>
        <w:r w:rsidR="00216BD5" w:rsidRPr="009A74BE">
          <w:rPr>
            <w:webHidden/>
            <w:szCs w:val="24"/>
          </w:rPr>
          <w:instrText xml:space="preserve"> PAGEREF _Toc412466383 \h </w:instrText>
        </w:r>
        <w:r w:rsidR="00216BD5" w:rsidRPr="009A74BE">
          <w:rPr>
            <w:webHidden/>
            <w:szCs w:val="24"/>
          </w:rPr>
        </w:r>
        <w:r w:rsidR="00216BD5" w:rsidRPr="009A74BE">
          <w:rPr>
            <w:webHidden/>
            <w:szCs w:val="24"/>
          </w:rPr>
          <w:fldChar w:fldCharType="separate"/>
        </w:r>
        <w:r w:rsidR="007C3FD8">
          <w:rPr>
            <w:webHidden/>
            <w:szCs w:val="24"/>
          </w:rPr>
          <w:t>3</w:t>
        </w:r>
        <w:r w:rsidR="00216BD5" w:rsidRPr="009A74BE">
          <w:rPr>
            <w:webHidden/>
            <w:szCs w:val="24"/>
          </w:rPr>
          <w:fldChar w:fldCharType="end"/>
        </w:r>
      </w:hyperlink>
    </w:p>
    <w:p w14:paraId="45A3F011" w14:textId="77777777" w:rsidR="00216BD5" w:rsidRPr="009A74BE" w:rsidRDefault="006703BB" w:rsidP="00216BD5">
      <w:pPr>
        <w:pStyle w:val="Obsah1"/>
        <w:spacing w:after="120" w:line="560" w:lineRule="exact"/>
        <w:rPr>
          <w:rFonts w:asciiTheme="minorHAnsi" w:eastAsiaTheme="minorEastAsia" w:hAnsiTheme="minorHAnsi" w:cstheme="minorBidi"/>
          <w:b w:val="0"/>
          <w:szCs w:val="24"/>
        </w:rPr>
      </w:pPr>
      <w:hyperlink w:anchor="_Toc412466384" w:history="1">
        <w:r w:rsidR="00216BD5" w:rsidRPr="009A74BE">
          <w:rPr>
            <w:rStyle w:val="Hypertextovprepojenie"/>
            <w:szCs w:val="24"/>
          </w:rPr>
          <w:t>2. Neobvyklé obchodné operácie</w:t>
        </w:r>
        <w:r w:rsidR="00216BD5" w:rsidRPr="009A74BE">
          <w:rPr>
            <w:webHidden/>
            <w:szCs w:val="24"/>
          </w:rPr>
          <w:tab/>
        </w:r>
        <w:r w:rsidR="00216BD5" w:rsidRPr="009A74BE">
          <w:rPr>
            <w:webHidden/>
            <w:szCs w:val="24"/>
          </w:rPr>
          <w:fldChar w:fldCharType="begin"/>
        </w:r>
        <w:r w:rsidR="00216BD5" w:rsidRPr="009A74BE">
          <w:rPr>
            <w:webHidden/>
            <w:szCs w:val="24"/>
          </w:rPr>
          <w:instrText xml:space="preserve"> PAGEREF _Toc412466384 \h </w:instrText>
        </w:r>
        <w:r w:rsidR="00216BD5" w:rsidRPr="009A74BE">
          <w:rPr>
            <w:webHidden/>
            <w:szCs w:val="24"/>
          </w:rPr>
        </w:r>
        <w:r w:rsidR="00216BD5" w:rsidRPr="009A74BE">
          <w:rPr>
            <w:webHidden/>
            <w:szCs w:val="24"/>
          </w:rPr>
          <w:fldChar w:fldCharType="separate"/>
        </w:r>
        <w:r w:rsidR="007C3FD8">
          <w:rPr>
            <w:webHidden/>
            <w:szCs w:val="24"/>
          </w:rPr>
          <w:t>4</w:t>
        </w:r>
        <w:r w:rsidR="00216BD5" w:rsidRPr="009A74BE">
          <w:rPr>
            <w:webHidden/>
            <w:szCs w:val="24"/>
          </w:rPr>
          <w:fldChar w:fldCharType="end"/>
        </w:r>
      </w:hyperlink>
    </w:p>
    <w:p w14:paraId="3D3D9E7B" w14:textId="77777777" w:rsidR="00216BD5" w:rsidRPr="009A74BE" w:rsidRDefault="006703BB" w:rsidP="00216BD5">
      <w:pPr>
        <w:pStyle w:val="Obsah2"/>
        <w:tabs>
          <w:tab w:val="right" w:leader="dot" w:pos="9062"/>
        </w:tabs>
        <w:spacing w:after="120" w:line="560" w:lineRule="exact"/>
        <w:rPr>
          <w:rFonts w:asciiTheme="minorHAnsi" w:eastAsiaTheme="minorEastAsia" w:hAnsiTheme="minorHAnsi" w:cstheme="minorBidi"/>
          <w:noProof/>
          <w:sz w:val="24"/>
          <w:szCs w:val="24"/>
        </w:rPr>
      </w:pPr>
      <w:hyperlink w:anchor="_Toc412466385" w:history="1">
        <w:r w:rsidR="00216BD5" w:rsidRPr="009A74BE">
          <w:rPr>
            <w:rStyle w:val="Hypertextovprepojenie"/>
            <w:noProof/>
            <w:sz w:val="24"/>
            <w:szCs w:val="24"/>
          </w:rPr>
          <w:t>2.1 Štruktúra povinných osôb a štatistika hlásení o NOO</w:t>
        </w:r>
        <w:r w:rsidR="00216BD5" w:rsidRPr="009A74BE">
          <w:rPr>
            <w:noProof/>
            <w:webHidden/>
            <w:sz w:val="24"/>
            <w:szCs w:val="24"/>
          </w:rPr>
          <w:tab/>
        </w:r>
        <w:r w:rsidR="00216BD5" w:rsidRPr="009A74BE">
          <w:rPr>
            <w:noProof/>
            <w:webHidden/>
            <w:sz w:val="24"/>
            <w:szCs w:val="24"/>
          </w:rPr>
          <w:fldChar w:fldCharType="begin"/>
        </w:r>
        <w:r w:rsidR="00216BD5" w:rsidRPr="009A74BE">
          <w:rPr>
            <w:noProof/>
            <w:webHidden/>
            <w:sz w:val="24"/>
            <w:szCs w:val="24"/>
          </w:rPr>
          <w:instrText xml:space="preserve"> PAGEREF _Toc412466385 \h </w:instrText>
        </w:r>
        <w:r w:rsidR="00216BD5" w:rsidRPr="009A74BE">
          <w:rPr>
            <w:noProof/>
            <w:webHidden/>
            <w:sz w:val="24"/>
            <w:szCs w:val="24"/>
          </w:rPr>
        </w:r>
        <w:r w:rsidR="00216BD5" w:rsidRPr="009A74BE">
          <w:rPr>
            <w:noProof/>
            <w:webHidden/>
            <w:sz w:val="24"/>
            <w:szCs w:val="24"/>
          </w:rPr>
          <w:fldChar w:fldCharType="separate"/>
        </w:r>
        <w:r w:rsidR="007C3FD8">
          <w:rPr>
            <w:noProof/>
            <w:webHidden/>
            <w:sz w:val="24"/>
            <w:szCs w:val="24"/>
          </w:rPr>
          <w:t>5</w:t>
        </w:r>
        <w:r w:rsidR="00216BD5" w:rsidRPr="009A74BE">
          <w:rPr>
            <w:noProof/>
            <w:webHidden/>
            <w:sz w:val="24"/>
            <w:szCs w:val="24"/>
          </w:rPr>
          <w:fldChar w:fldCharType="end"/>
        </w:r>
      </w:hyperlink>
    </w:p>
    <w:p w14:paraId="7FF5BA82" w14:textId="77777777" w:rsidR="00216BD5" w:rsidRPr="009A74BE" w:rsidRDefault="006703BB" w:rsidP="00216BD5">
      <w:pPr>
        <w:pStyle w:val="Obsah2"/>
        <w:tabs>
          <w:tab w:val="right" w:leader="dot" w:pos="9062"/>
        </w:tabs>
        <w:spacing w:after="120" w:line="560" w:lineRule="exact"/>
        <w:rPr>
          <w:rFonts w:asciiTheme="minorHAnsi" w:eastAsiaTheme="minorEastAsia" w:hAnsiTheme="minorHAnsi" w:cstheme="minorBidi"/>
          <w:noProof/>
          <w:sz w:val="24"/>
          <w:szCs w:val="24"/>
        </w:rPr>
      </w:pPr>
      <w:hyperlink w:anchor="_Toc412466386" w:history="1">
        <w:r w:rsidR="00216BD5" w:rsidRPr="009A74BE">
          <w:rPr>
            <w:rStyle w:val="Hypertextovprepojenie"/>
            <w:noProof/>
            <w:sz w:val="24"/>
            <w:szCs w:val="24"/>
          </w:rPr>
          <w:t>2.2 Zdržanie NOO</w:t>
        </w:r>
        <w:r w:rsidR="00216BD5" w:rsidRPr="009A74BE">
          <w:rPr>
            <w:noProof/>
            <w:webHidden/>
            <w:sz w:val="24"/>
            <w:szCs w:val="24"/>
          </w:rPr>
          <w:tab/>
        </w:r>
        <w:r w:rsidR="00216BD5" w:rsidRPr="009A74BE">
          <w:rPr>
            <w:noProof/>
            <w:webHidden/>
            <w:sz w:val="24"/>
            <w:szCs w:val="24"/>
          </w:rPr>
          <w:fldChar w:fldCharType="begin"/>
        </w:r>
        <w:r w:rsidR="00216BD5" w:rsidRPr="009A74BE">
          <w:rPr>
            <w:noProof/>
            <w:webHidden/>
            <w:sz w:val="24"/>
            <w:szCs w:val="24"/>
          </w:rPr>
          <w:instrText xml:space="preserve"> PAGEREF _Toc412466386 \h </w:instrText>
        </w:r>
        <w:r w:rsidR="00216BD5" w:rsidRPr="009A74BE">
          <w:rPr>
            <w:noProof/>
            <w:webHidden/>
            <w:sz w:val="24"/>
            <w:szCs w:val="24"/>
          </w:rPr>
        </w:r>
        <w:r w:rsidR="00216BD5" w:rsidRPr="009A74BE">
          <w:rPr>
            <w:noProof/>
            <w:webHidden/>
            <w:sz w:val="24"/>
            <w:szCs w:val="24"/>
          </w:rPr>
          <w:fldChar w:fldCharType="separate"/>
        </w:r>
        <w:r w:rsidR="007C3FD8">
          <w:rPr>
            <w:noProof/>
            <w:webHidden/>
            <w:sz w:val="24"/>
            <w:szCs w:val="24"/>
          </w:rPr>
          <w:t>7</w:t>
        </w:r>
        <w:r w:rsidR="00216BD5" w:rsidRPr="009A74BE">
          <w:rPr>
            <w:noProof/>
            <w:webHidden/>
            <w:sz w:val="24"/>
            <w:szCs w:val="24"/>
          </w:rPr>
          <w:fldChar w:fldCharType="end"/>
        </w:r>
      </w:hyperlink>
    </w:p>
    <w:p w14:paraId="110107AA" w14:textId="77777777" w:rsidR="00216BD5" w:rsidRPr="009A74BE" w:rsidRDefault="006703BB" w:rsidP="00216BD5">
      <w:pPr>
        <w:pStyle w:val="Obsah2"/>
        <w:tabs>
          <w:tab w:val="right" w:leader="dot" w:pos="9062"/>
        </w:tabs>
        <w:spacing w:after="120" w:line="560" w:lineRule="exact"/>
        <w:rPr>
          <w:rFonts w:asciiTheme="minorHAnsi" w:eastAsiaTheme="minorEastAsia" w:hAnsiTheme="minorHAnsi" w:cstheme="minorBidi"/>
          <w:noProof/>
          <w:sz w:val="24"/>
          <w:szCs w:val="24"/>
        </w:rPr>
      </w:pPr>
      <w:hyperlink w:anchor="_Toc412466387" w:history="1">
        <w:r w:rsidR="00216BD5" w:rsidRPr="009A74BE">
          <w:rPr>
            <w:rStyle w:val="Hypertextovprepojenie"/>
            <w:noProof/>
            <w:sz w:val="24"/>
            <w:szCs w:val="24"/>
          </w:rPr>
          <w:t>2.4 Vybrané prípady riešenia NOO</w:t>
        </w:r>
        <w:r w:rsidR="00216BD5" w:rsidRPr="009A74BE">
          <w:rPr>
            <w:noProof/>
            <w:webHidden/>
            <w:sz w:val="24"/>
            <w:szCs w:val="24"/>
          </w:rPr>
          <w:tab/>
        </w:r>
        <w:r w:rsidR="00216BD5" w:rsidRPr="009A74BE">
          <w:rPr>
            <w:noProof/>
            <w:webHidden/>
            <w:sz w:val="24"/>
            <w:szCs w:val="24"/>
          </w:rPr>
          <w:fldChar w:fldCharType="begin"/>
        </w:r>
        <w:r w:rsidR="00216BD5" w:rsidRPr="009A74BE">
          <w:rPr>
            <w:noProof/>
            <w:webHidden/>
            <w:sz w:val="24"/>
            <w:szCs w:val="24"/>
          </w:rPr>
          <w:instrText xml:space="preserve"> PAGEREF _Toc412466387 \h </w:instrText>
        </w:r>
        <w:r w:rsidR="00216BD5" w:rsidRPr="009A74BE">
          <w:rPr>
            <w:noProof/>
            <w:webHidden/>
            <w:sz w:val="24"/>
            <w:szCs w:val="24"/>
          </w:rPr>
        </w:r>
        <w:r w:rsidR="00216BD5" w:rsidRPr="009A74BE">
          <w:rPr>
            <w:noProof/>
            <w:webHidden/>
            <w:sz w:val="24"/>
            <w:szCs w:val="24"/>
          </w:rPr>
          <w:fldChar w:fldCharType="separate"/>
        </w:r>
        <w:r w:rsidR="007C3FD8">
          <w:rPr>
            <w:noProof/>
            <w:webHidden/>
            <w:sz w:val="24"/>
            <w:szCs w:val="24"/>
          </w:rPr>
          <w:t>10</w:t>
        </w:r>
        <w:r w:rsidR="00216BD5" w:rsidRPr="009A74BE">
          <w:rPr>
            <w:noProof/>
            <w:webHidden/>
            <w:sz w:val="24"/>
            <w:szCs w:val="24"/>
          </w:rPr>
          <w:fldChar w:fldCharType="end"/>
        </w:r>
      </w:hyperlink>
    </w:p>
    <w:p w14:paraId="6F8FB097" w14:textId="77777777" w:rsidR="00216BD5" w:rsidRPr="009A74BE" w:rsidRDefault="006703BB" w:rsidP="00216BD5">
      <w:pPr>
        <w:pStyle w:val="Obsah2"/>
        <w:tabs>
          <w:tab w:val="right" w:leader="dot" w:pos="9062"/>
        </w:tabs>
        <w:spacing w:after="120" w:line="560" w:lineRule="exact"/>
        <w:rPr>
          <w:rFonts w:asciiTheme="minorHAnsi" w:eastAsiaTheme="minorEastAsia" w:hAnsiTheme="minorHAnsi" w:cstheme="minorBidi"/>
          <w:noProof/>
          <w:sz w:val="24"/>
          <w:szCs w:val="24"/>
        </w:rPr>
      </w:pPr>
      <w:hyperlink w:anchor="_Toc412466388" w:history="1">
        <w:r w:rsidR="00216BD5" w:rsidRPr="009A74BE">
          <w:rPr>
            <w:rStyle w:val="Hypertextovprepojenie"/>
            <w:noProof/>
            <w:sz w:val="24"/>
            <w:szCs w:val="24"/>
          </w:rPr>
          <w:t>2.5 Účinnosť hlásení o NOO</w:t>
        </w:r>
        <w:r w:rsidR="00216BD5" w:rsidRPr="009A74BE">
          <w:rPr>
            <w:noProof/>
            <w:webHidden/>
            <w:sz w:val="24"/>
            <w:szCs w:val="24"/>
          </w:rPr>
          <w:tab/>
        </w:r>
        <w:r w:rsidR="00216BD5" w:rsidRPr="009A74BE">
          <w:rPr>
            <w:noProof/>
            <w:webHidden/>
            <w:sz w:val="24"/>
            <w:szCs w:val="24"/>
          </w:rPr>
          <w:fldChar w:fldCharType="begin"/>
        </w:r>
        <w:r w:rsidR="00216BD5" w:rsidRPr="009A74BE">
          <w:rPr>
            <w:noProof/>
            <w:webHidden/>
            <w:sz w:val="24"/>
            <w:szCs w:val="24"/>
          </w:rPr>
          <w:instrText xml:space="preserve"> PAGEREF _Toc412466388 \h </w:instrText>
        </w:r>
        <w:r w:rsidR="00216BD5" w:rsidRPr="009A74BE">
          <w:rPr>
            <w:noProof/>
            <w:webHidden/>
            <w:sz w:val="24"/>
            <w:szCs w:val="24"/>
          </w:rPr>
        </w:r>
        <w:r w:rsidR="00216BD5" w:rsidRPr="009A74BE">
          <w:rPr>
            <w:noProof/>
            <w:webHidden/>
            <w:sz w:val="24"/>
            <w:szCs w:val="24"/>
          </w:rPr>
          <w:fldChar w:fldCharType="separate"/>
        </w:r>
        <w:r w:rsidR="007C3FD8">
          <w:rPr>
            <w:noProof/>
            <w:webHidden/>
            <w:sz w:val="24"/>
            <w:szCs w:val="24"/>
          </w:rPr>
          <w:t>11</w:t>
        </w:r>
        <w:r w:rsidR="00216BD5" w:rsidRPr="009A74BE">
          <w:rPr>
            <w:noProof/>
            <w:webHidden/>
            <w:sz w:val="24"/>
            <w:szCs w:val="24"/>
          </w:rPr>
          <w:fldChar w:fldCharType="end"/>
        </w:r>
      </w:hyperlink>
    </w:p>
    <w:p w14:paraId="767674A8" w14:textId="77777777" w:rsidR="00216BD5" w:rsidRPr="009A74BE" w:rsidRDefault="006703BB" w:rsidP="00216BD5">
      <w:pPr>
        <w:pStyle w:val="Obsah1"/>
        <w:spacing w:after="120" w:line="560" w:lineRule="exact"/>
        <w:rPr>
          <w:rFonts w:asciiTheme="minorHAnsi" w:eastAsiaTheme="minorEastAsia" w:hAnsiTheme="minorHAnsi" w:cstheme="minorBidi"/>
          <w:b w:val="0"/>
          <w:szCs w:val="24"/>
        </w:rPr>
      </w:pPr>
      <w:hyperlink w:anchor="_Toc412466389" w:history="1">
        <w:r w:rsidR="00216BD5" w:rsidRPr="009A74BE">
          <w:rPr>
            <w:rStyle w:val="Hypertextovprepojenie"/>
            <w:rFonts w:eastAsiaTheme="minorHAnsi"/>
            <w:szCs w:val="24"/>
          </w:rPr>
          <w:t>3. Kontrolná činnosť</w:t>
        </w:r>
        <w:r w:rsidR="00216BD5" w:rsidRPr="009A74BE">
          <w:rPr>
            <w:webHidden/>
            <w:szCs w:val="24"/>
          </w:rPr>
          <w:tab/>
        </w:r>
        <w:r w:rsidR="00216BD5" w:rsidRPr="009A74BE">
          <w:rPr>
            <w:webHidden/>
            <w:szCs w:val="24"/>
          </w:rPr>
          <w:fldChar w:fldCharType="begin"/>
        </w:r>
        <w:r w:rsidR="00216BD5" w:rsidRPr="009A74BE">
          <w:rPr>
            <w:webHidden/>
            <w:szCs w:val="24"/>
          </w:rPr>
          <w:instrText xml:space="preserve"> PAGEREF _Toc412466389 \h </w:instrText>
        </w:r>
        <w:r w:rsidR="00216BD5" w:rsidRPr="009A74BE">
          <w:rPr>
            <w:webHidden/>
            <w:szCs w:val="24"/>
          </w:rPr>
        </w:r>
        <w:r w:rsidR="00216BD5" w:rsidRPr="009A74BE">
          <w:rPr>
            <w:webHidden/>
            <w:szCs w:val="24"/>
          </w:rPr>
          <w:fldChar w:fldCharType="separate"/>
        </w:r>
        <w:r w:rsidR="007C3FD8">
          <w:rPr>
            <w:webHidden/>
            <w:szCs w:val="24"/>
          </w:rPr>
          <w:t>15</w:t>
        </w:r>
        <w:r w:rsidR="00216BD5" w:rsidRPr="009A74BE">
          <w:rPr>
            <w:webHidden/>
            <w:szCs w:val="24"/>
          </w:rPr>
          <w:fldChar w:fldCharType="end"/>
        </w:r>
      </w:hyperlink>
    </w:p>
    <w:p w14:paraId="39664F23" w14:textId="77777777" w:rsidR="00216BD5" w:rsidRPr="009A74BE" w:rsidRDefault="006703BB" w:rsidP="00216BD5">
      <w:pPr>
        <w:pStyle w:val="Obsah1"/>
        <w:spacing w:after="120" w:line="560" w:lineRule="exact"/>
        <w:rPr>
          <w:rFonts w:asciiTheme="minorHAnsi" w:eastAsiaTheme="minorEastAsia" w:hAnsiTheme="minorHAnsi" w:cstheme="minorBidi"/>
          <w:b w:val="0"/>
          <w:szCs w:val="24"/>
        </w:rPr>
      </w:pPr>
      <w:hyperlink w:anchor="_Toc412466390" w:history="1">
        <w:r w:rsidR="00216BD5" w:rsidRPr="009A74BE">
          <w:rPr>
            <w:rStyle w:val="Hypertextovprepojenie"/>
            <w:rFonts w:eastAsiaTheme="minorHAnsi"/>
            <w:szCs w:val="24"/>
          </w:rPr>
          <w:t>4. Medzinárodná spolupráca</w:t>
        </w:r>
        <w:r w:rsidR="00216BD5" w:rsidRPr="009A74BE">
          <w:rPr>
            <w:webHidden/>
            <w:szCs w:val="24"/>
          </w:rPr>
          <w:tab/>
        </w:r>
        <w:r w:rsidR="00216BD5" w:rsidRPr="009A74BE">
          <w:rPr>
            <w:webHidden/>
            <w:szCs w:val="24"/>
          </w:rPr>
          <w:fldChar w:fldCharType="begin"/>
        </w:r>
        <w:r w:rsidR="00216BD5" w:rsidRPr="009A74BE">
          <w:rPr>
            <w:webHidden/>
            <w:szCs w:val="24"/>
          </w:rPr>
          <w:instrText xml:space="preserve"> PAGEREF _Toc412466390 \h </w:instrText>
        </w:r>
        <w:r w:rsidR="00216BD5" w:rsidRPr="009A74BE">
          <w:rPr>
            <w:webHidden/>
            <w:szCs w:val="24"/>
          </w:rPr>
        </w:r>
        <w:r w:rsidR="00216BD5" w:rsidRPr="009A74BE">
          <w:rPr>
            <w:webHidden/>
            <w:szCs w:val="24"/>
          </w:rPr>
          <w:fldChar w:fldCharType="separate"/>
        </w:r>
        <w:r w:rsidR="007C3FD8">
          <w:rPr>
            <w:webHidden/>
            <w:szCs w:val="24"/>
          </w:rPr>
          <w:t>19</w:t>
        </w:r>
        <w:r w:rsidR="00216BD5" w:rsidRPr="009A74BE">
          <w:rPr>
            <w:webHidden/>
            <w:szCs w:val="24"/>
          </w:rPr>
          <w:fldChar w:fldCharType="end"/>
        </w:r>
      </w:hyperlink>
    </w:p>
    <w:p w14:paraId="24F6C02B" w14:textId="77777777" w:rsidR="00216BD5" w:rsidRPr="009A74BE" w:rsidRDefault="006703BB" w:rsidP="00216BD5">
      <w:pPr>
        <w:pStyle w:val="Obsah1"/>
        <w:spacing w:after="120" w:line="560" w:lineRule="exact"/>
        <w:rPr>
          <w:rFonts w:asciiTheme="minorHAnsi" w:eastAsiaTheme="minorEastAsia" w:hAnsiTheme="minorHAnsi" w:cstheme="minorBidi"/>
          <w:b w:val="0"/>
          <w:szCs w:val="24"/>
        </w:rPr>
      </w:pPr>
      <w:hyperlink w:anchor="_Toc412466391" w:history="1">
        <w:r w:rsidR="00216BD5" w:rsidRPr="009A74BE">
          <w:rPr>
            <w:rStyle w:val="Hypertextovprepojenie"/>
            <w:rFonts w:eastAsiaTheme="minorHAnsi"/>
            <w:szCs w:val="24"/>
            <w:lang w:eastAsia="en-US"/>
          </w:rPr>
          <w:t>5. Finančné a majetkové preverovanie</w:t>
        </w:r>
        <w:r w:rsidR="00216BD5" w:rsidRPr="009A74BE">
          <w:rPr>
            <w:webHidden/>
            <w:szCs w:val="24"/>
          </w:rPr>
          <w:tab/>
        </w:r>
        <w:r w:rsidR="00216BD5" w:rsidRPr="009A74BE">
          <w:rPr>
            <w:webHidden/>
            <w:szCs w:val="24"/>
          </w:rPr>
          <w:fldChar w:fldCharType="begin"/>
        </w:r>
        <w:r w:rsidR="00216BD5" w:rsidRPr="009A74BE">
          <w:rPr>
            <w:webHidden/>
            <w:szCs w:val="24"/>
          </w:rPr>
          <w:instrText xml:space="preserve"> PAGEREF _Toc412466391 \h </w:instrText>
        </w:r>
        <w:r w:rsidR="00216BD5" w:rsidRPr="009A74BE">
          <w:rPr>
            <w:webHidden/>
            <w:szCs w:val="24"/>
          </w:rPr>
        </w:r>
        <w:r w:rsidR="00216BD5" w:rsidRPr="009A74BE">
          <w:rPr>
            <w:webHidden/>
            <w:szCs w:val="24"/>
          </w:rPr>
          <w:fldChar w:fldCharType="separate"/>
        </w:r>
        <w:r w:rsidR="007C3FD8">
          <w:rPr>
            <w:webHidden/>
            <w:szCs w:val="24"/>
          </w:rPr>
          <w:t>23</w:t>
        </w:r>
        <w:r w:rsidR="00216BD5" w:rsidRPr="009A74BE">
          <w:rPr>
            <w:webHidden/>
            <w:szCs w:val="24"/>
          </w:rPr>
          <w:fldChar w:fldCharType="end"/>
        </w:r>
      </w:hyperlink>
    </w:p>
    <w:p w14:paraId="2936EBEB" w14:textId="77777777" w:rsidR="00216BD5" w:rsidRPr="009A74BE" w:rsidRDefault="006703BB" w:rsidP="00216BD5">
      <w:pPr>
        <w:pStyle w:val="Obsah2"/>
        <w:tabs>
          <w:tab w:val="right" w:leader="dot" w:pos="9062"/>
        </w:tabs>
        <w:spacing w:after="120" w:line="560" w:lineRule="exact"/>
        <w:rPr>
          <w:rFonts w:asciiTheme="minorHAnsi" w:eastAsiaTheme="minorEastAsia" w:hAnsiTheme="minorHAnsi" w:cstheme="minorBidi"/>
          <w:noProof/>
          <w:sz w:val="24"/>
          <w:szCs w:val="24"/>
        </w:rPr>
      </w:pPr>
      <w:hyperlink w:anchor="_Toc412466392" w:history="1">
        <w:r w:rsidR="00216BD5" w:rsidRPr="009A74BE">
          <w:rPr>
            <w:rStyle w:val="Hypertextovprepojenie"/>
            <w:noProof/>
            <w:sz w:val="24"/>
            <w:szCs w:val="24"/>
          </w:rPr>
          <w:t>5.1 Finančné preverovanie, vyhľadávanie majetku a vypracovanie majetkového</w:t>
        </w:r>
        <w:r w:rsidR="00216BD5" w:rsidRPr="009A74BE">
          <w:rPr>
            <w:noProof/>
            <w:webHidden/>
            <w:sz w:val="24"/>
            <w:szCs w:val="24"/>
          </w:rPr>
          <w:tab/>
        </w:r>
        <w:r w:rsidR="00216BD5" w:rsidRPr="009A74BE">
          <w:rPr>
            <w:noProof/>
            <w:webHidden/>
            <w:sz w:val="24"/>
            <w:szCs w:val="24"/>
          </w:rPr>
          <w:fldChar w:fldCharType="begin"/>
        </w:r>
        <w:r w:rsidR="00216BD5" w:rsidRPr="009A74BE">
          <w:rPr>
            <w:noProof/>
            <w:webHidden/>
            <w:sz w:val="24"/>
            <w:szCs w:val="24"/>
          </w:rPr>
          <w:instrText xml:space="preserve"> PAGEREF _Toc412466392 \h </w:instrText>
        </w:r>
        <w:r w:rsidR="00216BD5" w:rsidRPr="009A74BE">
          <w:rPr>
            <w:noProof/>
            <w:webHidden/>
            <w:sz w:val="24"/>
            <w:szCs w:val="24"/>
          </w:rPr>
        </w:r>
        <w:r w:rsidR="00216BD5" w:rsidRPr="009A74BE">
          <w:rPr>
            <w:noProof/>
            <w:webHidden/>
            <w:sz w:val="24"/>
            <w:szCs w:val="24"/>
          </w:rPr>
          <w:fldChar w:fldCharType="separate"/>
        </w:r>
        <w:r w:rsidR="007C3FD8">
          <w:rPr>
            <w:noProof/>
            <w:webHidden/>
            <w:sz w:val="24"/>
            <w:szCs w:val="24"/>
          </w:rPr>
          <w:t>24</w:t>
        </w:r>
        <w:r w:rsidR="00216BD5" w:rsidRPr="009A74BE">
          <w:rPr>
            <w:noProof/>
            <w:webHidden/>
            <w:sz w:val="24"/>
            <w:szCs w:val="24"/>
          </w:rPr>
          <w:fldChar w:fldCharType="end"/>
        </w:r>
      </w:hyperlink>
    </w:p>
    <w:p w14:paraId="3B0555FC" w14:textId="77777777" w:rsidR="00216BD5" w:rsidRPr="009A74BE" w:rsidRDefault="006703BB" w:rsidP="00216BD5">
      <w:pPr>
        <w:pStyle w:val="Obsah2"/>
        <w:tabs>
          <w:tab w:val="right" w:leader="dot" w:pos="9062"/>
        </w:tabs>
        <w:spacing w:after="120" w:line="560" w:lineRule="exact"/>
        <w:rPr>
          <w:rFonts w:asciiTheme="minorHAnsi" w:eastAsiaTheme="minorEastAsia" w:hAnsiTheme="minorHAnsi" w:cstheme="minorBidi"/>
          <w:noProof/>
          <w:sz w:val="24"/>
          <w:szCs w:val="24"/>
        </w:rPr>
      </w:pPr>
      <w:hyperlink w:anchor="_Toc412466393" w:history="1">
        <w:r w:rsidR="00216BD5" w:rsidRPr="009A74BE">
          <w:rPr>
            <w:rStyle w:val="Hypertextovprepojenie"/>
            <w:noProof/>
            <w:sz w:val="24"/>
            <w:szCs w:val="24"/>
          </w:rPr>
          <w:t>profilu</w:t>
        </w:r>
        <w:r w:rsidR="00216BD5" w:rsidRPr="009A74BE">
          <w:rPr>
            <w:noProof/>
            <w:webHidden/>
            <w:sz w:val="24"/>
            <w:szCs w:val="24"/>
          </w:rPr>
          <w:tab/>
        </w:r>
        <w:r w:rsidR="00216BD5" w:rsidRPr="009A74BE">
          <w:rPr>
            <w:noProof/>
            <w:webHidden/>
            <w:sz w:val="24"/>
            <w:szCs w:val="24"/>
          </w:rPr>
          <w:fldChar w:fldCharType="begin"/>
        </w:r>
        <w:r w:rsidR="00216BD5" w:rsidRPr="009A74BE">
          <w:rPr>
            <w:noProof/>
            <w:webHidden/>
            <w:sz w:val="24"/>
            <w:szCs w:val="24"/>
          </w:rPr>
          <w:instrText xml:space="preserve"> PAGEREF _Toc412466393 \h </w:instrText>
        </w:r>
        <w:r w:rsidR="00216BD5" w:rsidRPr="009A74BE">
          <w:rPr>
            <w:noProof/>
            <w:webHidden/>
            <w:sz w:val="24"/>
            <w:szCs w:val="24"/>
          </w:rPr>
        </w:r>
        <w:r w:rsidR="00216BD5" w:rsidRPr="009A74BE">
          <w:rPr>
            <w:noProof/>
            <w:webHidden/>
            <w:sz w:val="24"/>
            <w:szCs w:val="24"/>
          </w:rPr>
          <w:fldChar w:fldCharType="separate"/>
        </w:r>
        <w:r w:rsidR="007C3FD8">
          <w:rPr>
            <w:noProof/>
            <w:webHidden/>
            <w:sz w:val="24"/>
            <w:szCs w:val="24"/>
          </w:rPr>
          <w:t>24</w:t>
        </w:r>
        <w:r w:rsidR="00216BD5" w:rsidRPr="009A74BE">
          <w:rPr>
            <w:noProof/>
            <w:webHidden/>
            <w:sz w:val="24"/>
            <w:szCs w:val="24"/>
          </w:rPr>
          <w:fldChar w:fldCharType="end"/>
        </w:r>
      </w:hyperlink>
    </w:p>
    <w:p w14:paraId="56C0868D" w14:textId="77777777" w:rsidR="00216BD5" w:rsidRPr="009A74BE" w:rsidRDefault="006703BB" w:rsidP="00216BD5">
      <w:pPr>
        <w:pStyle w:val="Obsah2"/>
        <w:tabs>
          <w:tab w:val="right" w:leader="dot" w:pos="9062"/>
        </w:tabs>
        <w:spacing w:after="120" w:line="560" w:lineRule="exact"/>
        <w:rPr>
          <w:rFonts w:asciiTheme="minorHAnsi" w:eastAsiaTheme="minorEastAsia" w:hAnsiTheme="minorHAnsi" w:cstheme="minorBidi"/>
          <w:noProof/>
          <w:sz w:val="24"/>
          <w:szCs w:val="24"/>
        </w:rPr>
      </w:pPr>
      <w:hyperlink w:anchor="_Toc412466394" w:history="1">
        <w:r w:rsidR="00216BD5" w:rsidRPr="009A74BE">
          <w:rPr>
            <w:rStyle w:val="Hypertextovprepojenie"/>
            <w:noProof/>
            <w:sz w:val="24"/>
            <w:szCs w:val="24"/>
          </w:rPr>
          <w:t>5.2 Preverovanie pôvodu majetku (majetkové preverovanie)</w:t>
        </w:r>
        <w:r w:rsidR="00216BD5" w:rsidRPr="009A74BE">
          <w:rPr>
            <w:noProof/>
            <w:webHidden/>
            <w:sz w:val="24"/>
            <w:szCs w:val="24"/>
          </w:rPr>
          <w:tab/>
        </w:r>
        <w:r w:rsidR="00216BD5" w:rsidRPr="009A74BE">
          <w:rPr>
            <w:noProof/>
            <w:webHidden/>
            <w:sz w:val="24"/>
            <w:szCs w:val="24"/>
          </w:rPr>
          <w:fldChar w:fldCharType="begin"/>
        </w:r>
        <w:r w:rsidR="00216BD5" w:rsidRPr="009A74BE">
          <w:rPr>
            <w:noProof/>
            <w:webHidden/>
            <w:sz w:val="24"/>
            <w:szCs w:val="24"/>
          </w:rPr>
          <w:instrText xml:space="preserve"> PAGEREF _Toc412466394 \h </w:instrText>
        </w:r>
        <w:r w:rsidR="00216BD5" w:rsidRPr="009A74BE">
          <w:rPr>
            <w:noProof/>
            <w:webHidden/>
            <w:sz w:val="24"/>
            <w:szCs w:val="24"/>
          </w:rPr>
        </w:r>
        <w:r w:rsidR="00216BD5" w:rsidRPr="009A74BE">
          <w:rPr>
            <w:noProof/>
            <w:webHidden/>
            <w:sz w:val="24"/>
            <w:szCs w:val="24"/>
          </w:rPr>
          <w:fldChar w:fldCharType="separate"/>
        </w:r>
        <w:r w:rsidR="007C3FD8">
          <w:rPr>
            <w:noProof/>
            <w:webHidden/>
            <w:sz w:val="24"/>
            <w:szCs w:val="24"/>
          </w:rPr>
          <w:t>26</w:t>
        </w:r>
        <w:r w:rsidR="00216BD5" w:rsidRPr="009A74BE">
          <w:rPr>
            <w:noProof/>
            <w:webHidden/>
            <w:sz w:val="24"/>
            <w:szCs w:val="24"/>
          </w:rPr>
          <w:fldChar w:fldCharType="end"/>
        </w:r>
      </w:hyperlink>
    </w:p>
    <w:p w14:paraId="32F6BF8B" w14:textId="77777777" w:rsidR="00216BD5" w:rsidRPr="009A74BE" w:rsidRDefault="006703BB" w:rsidP="00216BD5">
      <w:pPr>
        <w:pStyle w:val="Obsah1"/>
        <w:spacing w:after="120" w:line="560" w:lineRule="exact"/>
        <w:rPr>
          <w:rFonts w:asciiTheme="minorHAnsi" w:eastAsiaTheme="minorEastAsia" w:hAnsiTheme="minorHAnsi" w:cstheme="minorBidi"/>
          <w:b w:val="0"/>
          <w:szCs w:val="24"/>
        </w:rPr>
      </w:pPr>
      <w:hyperlink w:anchor="_Toc412466395" w:history="1">
        <w:r w:rsidR="00216BD5" w:rsidRPr="009A74BE">
          <w:rPr>
            <w:rStyle w:val="Hypertextovprepojenie"/>
            <w:szCs w:val="24"/>
          </w:rPr>
          <w:t>6. Analytická činnosť</w:t>
        </w:r>
        <w:r w:rsidR="00216BD5" w:rsidRPr="009A74BE">
          <w:rPr>
            <w:webHidden/>
            <w:szCs w:val="24"/>
          </w:rPr>
          <w:tab/>
        </w:r>
        <w:r w:rsidR="00216BD5" w:rsidRPr="009A74BE">
          <w:rPr>
            <w:webHidden/>
            <w:szCs w:val="24"/>
          </w:rPr>
          <w:fldChar w:fldCharType="begin"/>
        </w:r>
        <w:r w:rsidR="00216BD5" w:rsidRPr="009A74BE">
          <w:rPr>
            <w:webHidden/>
            <w:szCs w:val="24"/>
          </w:rPr>
          <w:instrText xml:space="preserve"> PAGEREF _Toc412466395 \h </w:instrText>
        </w:r>
        <w:r w:rsidR="00216BD5" w:rsidRPr="009A74BE">
          <w:rPr>
            <w:webHidden/>
            <w:szCs w:val="24"/>
          </w:rPr>
        </w:r>
        <w:r w:rsidR="00216BD5" w:rsidRPr="009A74BE">
          <w:rPr>
            <w:webHidden/>
            <w:szCs w:val="24"/>
          </w:rPr>
          <w:fldChar w:fldCharType="separate"/>
        </w:r>
        <w:r w:rsidR="007C3FD8">
          <w:rPr>
            <w:webHidden/>
            <w:szCs w:val="24"/>
          </w:rPr>
          <w:t>27</w:t>
        </w:r>
        <w:r w:rsidR="00216BD5" w:rsidRPr="009A74BE">
          <w:rPr>
            <w:webHidden/>
            <w:szCs w:val="24"/>
          </w:rPr>
          <w:fldChar w:fldCharType="end"/>
        </w:r>
      </w:hyperlink>
    </w:p>
    <w:p w14:paraId="3F1EF5B0" w14:textId="77777777" w:rsidR="00216BD5" w:rsidRPr="009A74BE" w:rsidRDefault="006703BB" w:rsidP="00216BD5">
      <w:pPr>
        <w:pStyle w:val="Obsah2"/>
        <w:tabs>
          <w:tab w:val="right" w:leader="dot" w:pos="9062"/>
        </w:tabs>
        <w:spacing w:after="120" w:line="560" w:lineRule="exact"/>
        <w:rPr>
          <w:rFonts w:asciiTheme="minorHAnsi" w:eastAsiaTheme="minorEastAsia" w:hAnsiTheme="minorHAnsi" w:cstheme="minorBidi"/>
          <w:noProof/>
          <w:sz w:val="24"/>
          <w:szCs w:val="24"/>
        </w:rPr>
      </w:pPr>
      <w:hyperlink w:anchor="_Toc412466396" w:history="1">
        <w:r w:rsidR="00216BD5" w:rsidRPr="009A74BE">
          <w:rPr>
            <w:rStyle w:val="Hypertextovprepojenie"/>
            <w:noProof/>
            <w:sz w:val="24"/>
            <w:szCs w:val="24"/>
          </w:rPr>
          <w:t>6.1 Preprava peňažných prostriedkov v hotovosti (Cezhraničné ohlasovanie)</w:t>
        </w:r>
        <w:r w:rsidR="00216BD5" w:rsidRPr="009A74BE">
          <w:rPr>
            <w:noProof/>
            <w:webHidden/>
            <w:sz w:val="24"/>
            <w:szCs w:val="24"/>
          </w:rPr>
          <w:tab/>
        </w:r>
        <w:r w:rsidR="00216BD5" w:rsidRPr="009A74BE">
          <w:rPr>
            <w:noProof/>
            <w:webHidden/>
            <w:sz w:val="24"/>
            <w:szCs w:val="24"/>
          </w:rPr>
          <w:fldChar w:fldCharType="begin"/>
        </w:r>
        <w:r w:rsidR="00216BD5" w:rsidRPr="009A74BE">
          <w:rPr>
            <w:noProof/>
            <w:webHidden/>
            <w:sz w:val="24"/>
            <w:szCs w:val="24"/>
          </w:rPr>
          <w:instrText xml:space="preserve"> PAGEREF _Toc412466396 \h </w:instrText>
        </w:r>
        <w:r w:rsidR="00216BD5" w:rsidRPr="009A74BE">
          <w:rPr>
            <w:noProof/>
            <w:webHidden/>
            <w:sz w:val="24"/>
            <w:szCs w:val="24"/>
          </w:rPr>
        </w:r>
        <w:r w:rsidR="00216BD5" w:rsidRPr="009A74BE">
          <w:rPr>
            <w:noProof/>
            <w:webHidden/>
            <w:sz w:val="24"/>
            <w:szCs w:val="24"/>
          </w:rPr>
          <w:fldChar w:fldCharType="separate"/>
        </w:r>
        <w:r w:rsidR="007C3FD8">
          <w:rPr>
            <w:noProof/>
            <w:webHidden/>
            <w:sz w:val="24"/>
            <w:szCs w:val="24"/>
          </w:rPr>
          <w:t>28</w:t>
        </w:r>
        <w:r w:rsidR="00216BD5" w:rsidRPr="009A74BE">
          <w:rPr>
            <w:noProof/>
            <w:webHidden/>
            <w:sz w:val="24"/>
            <w:szCs w:val="24"/>
          </w:rPr>
          <w:fldChar w:fldCharType="end"/>
        </w:r>
      </w:hyperlink>
    </w:p>
    <w:p w14:paraId="21C431A3" w14:textId="77777777" w:rsidR="00216BD5" w:rsidRPr="009A74BE" w:rsidRDefault="006703BB" w:rsidP="00216BD5">
      <w:pPr>
        <w:pStyle w:val="Obsah1"/>
        <w:spacing w:after="120" w:line="560" w:lineRule="exact"/>
        <w:rPr>
          <w:rFonts w:asciiTheme="minorHAnsi" w:eastAsiaTheme="minorEastAsia" w:hAnsiTheme="minorHAnsi" w:cstheme="minorBidi"/>
          <w:b w:val="0"/>
          <w:szCs w:val="24"/>
        </w:rPr>
      </w:pPr>
      <w:hyperlink w:anchor="_Toc412466397" w:history="1">
        <w:r w:rsidR="00216BD5" w:rsidRPr="009A74BE">
          <w:rPr>
            <w:rStyle w:val="Hypertextovprepojenie"/>
            <w:szCs w:val="24"/>
          </w:rPr>
          <w:t>7. Prognózy ďalšieho vývoja na úseku legalizácie a financovania terorizmu</w:t>
        </w:r>
        <w:r w:rsidR="00216BD5" w:rsidRPr="009A74BE">
          <w:rPr>
            <w:webHidden/>
            <w:szCs w:val="24"/>
          </w:rPr>
          <w:tab/>
        </w:r>
        <w:r w:rsidR="00216BD5" w:rsidRPr="009A74BE">
          <w:rPr>
            <w:webHidden/>
            <w:szCs w:val="24"/>
          </w:rPr>
          <w:fldChar w:fldCharType="begin"/>
        </w:r>
        <w:r w:rsidR="00216BD5" w:rsidRPr="009A74BE">
          <w:rPr>
            <w:webHidden/>
            <w:szCs w:val="24"/>
          </w:rPr>
          <w:instrText xml:space="preserve"> PAGEREF _Toc412466397 \h </w:instrText>
        </w:r>
        <w:r w:rsidR="00216BD5" w:rsidRPr="009A74BE">
          <w:rPr>
            <w:webHidden/>
            <w:szCs w:val="24"/>
          </w:rPr>
        </w:r>
        <w:r w:rsidR="00216BD5" w:rsidRPr="009A74BE">
          <w:rPr>
            <w:webHidden/>
            <w:szCs w:val="24"/>
          </w:rPr>
          <w:fldChar w:fldCharType="separate"/>
        </w:r>
        <w:r w:rsidR="007C3FD8">
          <w:rPr>
            <w:webHidden/>
            <w:szCs w:val="24"/>
          </w:rPr>
          <w:t>29</w:t>
        </w:r>
        <w:r w:rsidR="00216BD5" w:rsidRPr="009A74BE">
          <w:rPr>
            <w:webHidden/>
            <w:szCs w:val="24"/>
          </w:rPr>
          <w:fldChar w:fldCharType="end"/>
        </w:r>
      </w:hyperlink>
    </w:p>
    <w:p w14:paraId="7EB105BD" w14:textId="77777777" w:rsidR="00216BD5" w:rsidRPr="009A74BE" w:rsidRDefault="006703BB" w:rsidP="00216BD5">
      <w:pPr>
        <w:pStyle w:val="Obsah1"/>
        <w:spacing w:after="120" w:line="560" w:lineRule="exact"/>
        <w:rPr>
          <w:rFonts w:asciiTheme="minorHAnsi" w:eastAsiaTheme="minorEastAsia" w:hAnsiTheme="minorHAnsi" w:cstheme="minorBidi"/>
          <w:b w:val="0"/>
          <w:szCs w:val="24"/>
        </w:rPr>
      </w:pPr>
      <w:hyperlink w:anchor="_Toc412466398" w:history="1">
        <w:r w:rsidR="00216BD5" w:rsidRPr="009A74BE">
          <w:rPr>
            <w:rStyle w:val="Hypertextovprepojenie"/>
            <w:szCs w:val="24"/>
          </w:rPr>
          <w:t>8. Zhodnotenie spolupráce s partnerskými subjektmi</w:t>
        </w:r>
        <w:r w:rsidR="00216BD5" w:rsidRPr="009A74BE">
          <w:rPr>
            <w:webHidden/>
            <w:szCs w:val="24"/>
          </w:rPr>
          <w:tab/>
        </w:r>
        <w:r w:rsidR="00216BD5" w:rsidRPr="009A74BE">
          <w:rPr>
            <w:webHidden/>
            <w:szCs w:val="24"/>
          </w:rPr>
          <w:fldChar w:fldCharType="begin"/>
        </w:r>
        <w:r w:rsidR="00216BD5" w:rsidRPr="009A74BE">
          <w:rPr>
            <w:webHidden/>
            <w:szCs w:val="24"/>
          </w:rPr>
          <w:instrText xml:space="preserve"> PAGEREF _Toc412466398 \h </w:instrText>
        </w:r>
        <w:r w:rsidR="00216BD5" w:rsidRPr="009A74BE">
          <w:rPr>
            <w:webHidden/>
            <w:szCs w:val="24"/>
          </w:rPr>
        </w:r>
        <w:r w:rsidR="00216BD5" w:rsidRPr="009A74BE">
          <w:rPr>
            <w:webHidden/>
            <w:szCs w:val="24"/>
          </w:rPr>
          <w:fldChar w:fldCharType="separate"/>
        </w:r>
        <w:r w:rsidR="007C3FD8">
          <w:rPr>
            <w:webHidden/>
            <w:szCs w:val="24"/>
          </w:rPr>
          <w:t>30</w:t>
        </w:r>
        <w:r w:rsidR="00216BD5" w:rsidRPr="009A74BE">
          <w:rPr>
            <w:webHidden/>
            <w:szCs w:val="24"/>
          </w:rPr>
          <w:fldChar w:fldCharType="end"/>
        </w:r>
      </w:hyperlink>
    </w:p>
    <w:p w14:paraId="68362775" w14:textId="77777777" w:rsidR="00216BD5" w:rsidRPr="009A74BE" w:rsidRDefault="006703BB" w:rsidP="00216BD5">
      <w:pPr>
        <w:pStyle w:val="Obsah1"/>
        <w:spacing w:after="120" w:line="560" w:lineRule="exact"/>
        <w:rPr>
          <w:rFonts w:asciiTheme="minorHAnsi" w:eastAsiaTheme="minorEastAsia" w:hAnsiTheme="minorHAnsi" w:cstheme="minorBidi"/>
          <w:b w:val="0"/>
          <w:szCs w:val="24"/>
        </w:rPr>
      </w:pPr>
      <w:hyperlink w:anchor="_Toc412466399" w:history="1">
        <w:r w:rsidR="00216BD5" w:rsidRPr="009A74BE">
          <w:rPr>
            <w:rStyle w:val="Hypertextovprepojenie"/>
            <w:szCs w:val="24"/>
            <w:lang w:eastAsia="en-US"/>
          </w:rPr>
          <w:t>K</w:t>
        </w:r>
        <w:r w:rsidR="00216BD5">
          <w:rPr>
            <w:rStyle w:val="Hypertextovprepojenie"/>
            <w:szCs w:val="24"/>
            <w:lang w:eastAsia="en-US"/>
          </w:rPr>
          <w:t>ontaktné údaje</w:t>
        </w:r>
        <w:r w:rsidR="00216BD5" w:rsidRPr="009A74BE">
          <w:rPr>
            <w:webHidden/>
            <w:szCs w:val="24"/>
          </w:rPr>
          <w:tab/>
        </w:r>
        <w:r w:rsidR="00216BD5" w:rsidRPr="009A74BE">
          <w:rPr>
            <w:webHidden/>
            <w:szCs w:val="24"/>
          </w:rPr>
          <w:fldChar w:fldCharType="begin"/>
        </w:r>
        <w:r w:rsidR="00216BD5" w:rsidRPr="009A74BE">
          <w:rPr>
            <w:webHidden/>
            <w:szCs w:val="24"/>
          </w:rPr>
          <w:instrText xml:space="preserve"> PAGEREF _Toc412466399 \h </w:instrText>
        </w:r>
        <w:r w:rsidR="00216BD5" w:rsidRPr="009A74BE">
          <w:rPr>
            <w:webHidden/>
            <w:szCs w:val="24"/>
          </w:rPr>
        </w:r>
        <w:r w:rsidR="00216BD5" w:rsidRPr="009A74BE">
          <w:rPr>
            <w:webHidden/>
            <w:szCs w:val="24"/>
          </w:rPr>
          <w:fldChar w:fldCharType="separate"/>
        </w:r>
        <w:r w:rsidR="007C3FD8">
          <w:rPr>
            <w:webHidden/>
            <w:szCs w:val="24"/>
          </w:rPr>
          <w:t>32</w:t>
        </w:r>
        <w:r w:rsidR="00216BD5" w:rsidRPr="009A74BE">
          <w:rPr>
            <w:webHidden/>
            <w:szCs w:val="24"/>
          </w:rPr>
          <w:fldChar w:fldCharType="end"/>
        </w:r>
      </w:hyperlink>
    </w:p>
    <w:p w14:paraId="0094A0D4" w14:textId="77777777" w:rsidR="00216BD5" w:rsidRDefault="00216BD5" w:rsidP="00216BD5">
      <w:pPr>
        <w:tabs>
          <w:tab w:val="center" w:pos="851"/>
          <w:tab w:val="center" w:pos="7513"/>
        </w:tabs>
        <w:spacing w:line="560" w:lineRule="exact"/>
        <w:jc w:val="left"/>
        <w:rPr>
          <w:b/>
          <w:sz w:val="28"/>
          <w:szCs w:val="28"/>
        </w:rPr>
      </w:pPr>
      <w:r w:rsidRPr="009A74BE">
        <w:rPr>
          <w:b/>
          <w:sz w:val="24"/>
          <w:szCs w:val="24"/>
        </w:rPr>
        <w:fldChar w:fldCharType="end"/>
      </w:r>
    </w:p>
    <w:p w14:paraId="60EA9904" w14:textId="77777777" w:rsidR="00216BD5" w:rsidRDefault="00216BD5" w:rsidP="00216BD5">
      <w:pPr>
        <w:spacing w:after="160" w:line="259" w:lineRule="auto"/>
        <w:jc w:val="left"/>
        <w:rPr>
          <w:b/>
          <w:sz w:val="28"/>
          <w:szCs w:val="28"/>
        </w:rPr>
      </w:pPr>
      <w:r>
        <w:br w:type="page"/>
      </w:r>
    </w:p>
    <w:p w14:paraId="22FD0A8B" w14:textId="77777777" w:rsidR="00216BD5" w:rsidRDefault="00216BD5" w:rsidP="00216BD5">
      <w:pPr>
        <w:pStyle w:val="Nzovkapitoly"/>
      </w:pPr>
      <w:bookmarkStart w:id="1" w:name="_Toc412466382"/>
      <w:r>
        <w:lastRenderedPageBreak/>
        <w:t>Úvod</w:t>
      </w:r>
      <w:bookmarkEnd w:id="1"/>
    </w:p>
    <w:p w14:paraId="608A3E80" w14:textId="77777777" w:rsidR="00216BD5" w:rsidRDefault="00216BD5" w:rsidP="00216BD5">
      <w:pPr>
        <w:rPr>
          <w:sz w:val="24"/>
          <w:szCs w:val="24"/>
        </w:rPr>
      </w:pPr>
    </w:p>
    <w:p w14:paraId="328CA3B2" w14:textId="77777777" w:rsidR="00216BD5" w:rsidRDefault="00216BD5" w:rsidP="00216BD5">
      <w:pPr>
        <w:spacing w:after="120"/>
        <w:rPr>
          <w:sz w:val="24"/>
          <w:szCs w:val="24"/>
        </w:rPr>
      </w:pPr>
      <w:r>
        <w:rPr>
          <w:sz w:val="24"/>
          <w:szCs w:val="24"/>
        </w:rPr>
        <w:tab/>
        <w:t xml:space="preserve">Ako po minulé roky i v tomto roku je verejnosti predkladaná výročná správa finančnej spravodajskej jednotky národnej kriminálnej agentúry Prezídia Policajného zboru (ďalej len „FSJ“). Jej každoročné vypracovanie a zverejnenie je realizované na základe povinnosti vyplývajúcej z ustanovenia § 27 ods. 1 zákona č. 297/2008 Z. z. o ochrane pred legalizáciou príjmov z trestnej činnosti a o ochrane pred financovaním terorizmu a o zmene a doplnení niektorých zákonov v znení neskorších predpisov. </w:t>
      </w:r>
    </w:p>
    <w:p w14:paraId="5870AC6B" w14:textId="77777777" w:rsidR="00216BD5" w:rsidRDefault="00216BD5" w:rsidP="00216BD5">
      <w:pPr>
        <w:spacing w:after="120"/>
        <w:rPr>
          <w:sz w:val="24"/>
          <w:szCs w:val="24"/>
        </w:rPr>
      </w:pPr>
      <w:r>
        <w:rPr>
          <w:sz w:val="24"/>
          <w:szCs w:val="24"/>
        </w:rPr>
        <w:tab/>
        <w:t>Cieľom predkladanej výročnej správy je poskytnúť komplexný obraz o činnosti FSJ, ako osobitného útvaru finančnej polície v rámci plnenia</w:t>
      </w:r>
      <w:r>
        <w:rPr>
          <w:color w:val="FF0000"/>
          <w:sz w:val="24"/>
          <w:szCs w:val="24"/>
        </w:rPr>
        <w:t xml:space="preserve"> </w:t>
      </w:r>
      <w:r w:rsidRPr="00D747F8">
        <w:rPr>
          <w:sz w:val="24"/>
          <w:szCs w:val="24"/>
        </w:rPr>
        <w:t>konkrétnych</w:t>
      </w:r>
      <w:r>
        <w:rPr>
          <w:sz w:val="24"/>
          <w:szCs w:val="24"/>
        </w:rPr>
        <w:t xml:space="preserve"> úloh pri predchádzaní a odhaľovaní legalizácie príjmov z trestnej činnosti a financovania terorizmu, najmä zhodnotiť jej prácu na úseku riešenia neobvyklých obchodných operácií, na úseku kontrolnej činnosti, medzinárodnej spolupráce, finančného a majetkového preverovania, či analytickej činnosti za uplynulý rok. </w:t>
      </w:r>
    </w:p>
    <w:p w14:paraId="75936D05" w14:textId="77777777" w:rsidR="00216BD5" w:rsidRDefault="00216BD5" w:rsidP="00216BD5">
      <w:pPr>
        <w:spacing w:after="120"/>
        <w:rPr>
          <w:sz w:val="24"/>
          <w:szCs w:val="24"/>
        </w:rPr>
      </w:pPr>
      <w:r>
        <w:rPr>
          <w:sz w:val="24"/>
          <w:szCs w:val="24"/>
        </w:rPr>
        <w:tab/>
        <w:t xml:space="preserve">V predkladanej výročnej správe sú uvádzané výsledky, ktoré pracovníci jednotlivých oddelení FSJ v roku 2014 dosiahli a ktoré sú postupne zhrnuté v nasledujúcich kapitolách. Na základe komparáciou výsledkov dosiahnutých v roku 2014 s výsledkami za predchádzajúce roky, možno konštatovať stúpajúcu tendenciu  výkonnosti v rôznych činnostiach spadajúcich pod agendu FSJ. Tieto závery je možné konkrétne vnímať najmä z pohľadu rozsahu a hĺbky vykonaných kontrol u povinných osôb, množstva vybavených hlásení o neobvyklých obchodných operáciách, počtu vybavených žiadostí, či odstúpených informácií do zahraničia. </w:t>
      </w:r>
    </w:p>
    <w:p w14:paraId="33CA4517" w14:textId="77777777" w:rsidR="00216BD5" w:rsidRDefault="00216BD5" w:rsidP="00216BD5">
      <w:pPr>
        <w:spacing w:after="120"/>
        <w:rPr>
          <w:sz w:val="24"/>
          <w:szCs w:val="24"/>
        </w:rPr>
      </w:pPr>
      <w:r>
        <w:rPr>
          <w:sz w:val="24"/>
          <w:szCs w:val="24"/>
        </w:rPr>
        <w:tab/>
        <w:t>Snahou tejto výročnej správy je poukázať nielen na činnosti a úlohy FSJ, ktoré jej vyplývajú zo zákona a ktoré je možné na základe rôznych štatistických ukazovateľov vyhodnotiť vo variabilite ich výstupov, ale aj na činnosti pracovníkov FSJ, ktoré sa neobjavujú v uvedených štatistikách. Ide predovšetkým o činnosti smerujúce k tomu, aby postavenie FSJ, ako ústrednej jednotky v systéme opatrení proti praniu špinavých peňazí a financovaniu terorizmu v Slovenskej republike zostalo aj naďalej reálne zachované.</w:t>
      </w:r>
    </w:p>
    <w:p w14:paraId="71C948F6" w14:textId="77777777" w:rsidR="00216BD5" w:rsidRDefault="00216BD5" w:rsidP="00216BD5">
      <w:pPr>
        <w:spacing w:after="120"/>
        <w:rPr>
          <w:sz w:val="24"/>
          <w:szCs w:val="24"/>
        </w:rPr>
      </w:pPr>
      <w:r>
        <w:rPr>
          <w:sz w:val="24"/>
          <w:szCs w:val="24"/>
        </w:rPr>
        <w:tab/>
        <w:t>Nezanedbateľný podiel na výsledkoch a aktivitách FSJ na národnej, ako aj medzinárodnej úrovni má bezpochyby aj súčinnosť a spolupráca s našimi zahraničnými a tuzemskými partnermi (ostatné zložky polície, prokuratúra, pracovníci štátnej správy, zástupcovia povinných osôb), ktorým patrí poďakovanie za kvalitnú a stále sa zlepšujúcu spoluprácu. V prvom rade za úspechy dosiahnuté v roku 2014 patrí zvláštne poďakovanie všetkým pracovníkom FSJ, bez ktorých zanieteného a profesionálneho prístupu by FSJ len ťažko dosiahla tak kvalitné výsledky.</w:t>
      </w:r>
    </w:p>
    <w:p w14:paraId="5200FBC1" w14:textId="77777777" w:rsidR="00216BD5" w:rsidRDefault="00216BD5" w:rsidP="00216BD5">
      <w:pPr>
        <w:spacing w:after="120"/>
        <w:rPr>
          <w:sz w:val="24"/>
          <w:szCs w:val="24"/>
        </w:rPr>
      </w:pPr>
    </w:p>
    <w:p w14:paraId="0AC6F4A8" w14:textId="77777777" w:rsidR="00216BD5" w:rsidRDefault="00216BD5" w:rsidP="00216BD5">
      <w:pPr>
        <w:pStyle w:val="Nzovkapitoly"/>
      </w:pPr>
      <w:bookmarkStart w:id="2" w:name="_Toc412466383"/>
      <w:r>
        <w:t>1. Charakteristika, legislatívny rámec a členenie FSJ</w:t>
      </w:r>
      <w:bookmarkEnd w:id="2"/>
    </w:p>
    <w:p w14:paraId="0DA486D5" w14:textId="77777777" w:rsidR="00216BD5" w:rsidRDefault="00216BD5" w:rsidP="00216BD5">
      <w:pPr>
        <w:spacing w:after="120"/>
        <w:rPr>
          <w:sz w:val="24"/>
          <w:szCs w:val="24"/>
        </w:rPr>
      </w:pPr>
    </w:p>
    <w:p w14:paraId="7BD55CE3" w14:textId="77777777" w:rsidR="00216BD5" w:rsidRDefault="00216BD5" w:rsidP="00216BD5">
      <w:pPr>
        <w:spacing w:after="120"/>
        <w:rPr>
          <w:sz w:val="24"/>
          <w:szCs w:val="24"/>
        </w:rPr>
      </w:pPr>
      <w:r>
        <w:rPr>
          <w:sz w:val="24"/>
          <w:szCs w:val="24"/>
        </w:rPr>
        <w:tab/>
      </w:r>
      <w:r w:rsidRPr="005930DD">
        <w:rPr>
          <w:sz w:val="24"/>
          <w:szCs w:val="24"/>
        </w:rPr>
        <w:t xml:space="preserve">Legislatívny rámec činnosti </w:t>
      </w:r>
      <w:r>
        <w:rPr>
          <w:sz w:val="24"/>
          <w:szCs w:val="24"/>
        </w:rPr>
        <w:t>FSJ</w:t>
      </w:r>
      <w:r w:rsidRPr="005930DD">
        <w:rPr>
          <w:sz w:val="24"/>
          <w:szCs w:val="24"/>
        </w:rPr>
        <w:t xml:space="preserve"> je tvorený najmä zákonom č</w:t>
      </w:r>
      <w:r>
        <w:rPr>
          <w:sz w:val="24"/>
          <w:szCs w:val="24"/>
        </w:rPr>
        <w:t xml:space="preserve">. </w:t>
      </w:r>
      <w:r w:rsidRPr="005930DD">
        <w:rPr>
          <w:sz w:val="24"/>
          <w:szCs w:val="24"/>
        </w:rPr>
        <w:t>297/2008 Z. z. o ochrane pred legalizáciou príjmov z trestnej činnosti a o ochrane pred financovaním terorizmu a o zmene a doplnení niektorých zákonov v znení neskorších predpisov</w:t>
      </w:r>
      <w:r>
        <w:rPr>
          <w:sz w:val="24"/>
          <w:szCs w:val="24"/>
        </w:rPr>
        <w:t xml:space="preserve"> (ďalej len „zákon o ochrane pred legalizáciou“)</w:t>
      </w:r>
      <w:r w:rsidRPr="005930DD">
        <w:rPr>
          <w:sz w:val="24"/>
          <w:szCs w:val="24"/>
        </w:rPr>
        <w:t>, zákonom Národnej rady Slovenskej republiky č</w:t>
      </w:r>
      <w:r>
        <w:rPr>
          <w:sz w:val="24"/>
          <w:szCs w:val="24"/>
        </w:rPr>
        <w:t>. </w:t>
      </w:r>
      <w:r w:rsidRPr="005930DD">
        <w:rPr>
          <w:sz w:val="24"/>
          <w:szCs w:val="24"/>
        </w:rPr>
        <w:t>171/1993 Z. z. o Policajnom zbore v znení neskorších predpisov</w:t>
      </w:r>
      <w:r>
        <w:rPr>
          <w:sz w:val="24"/>
          <w:szCs w:val="24"/>
        </w:rPr>
        <w:t xml:space="preserve"> (ďalej len „zákon o PZ“)</w:t>
      </w:r>
      <w:r w:rsidRPr="005930DD">
        <w:rPr>
          <w:sz w:val="24"/>
          <w:szCs w:val="24"/>
        </w:rPr>
        <w:t>,</w:t>
      </w:r>
      <w:r>
        <w:rPr>
          <w:sz w:val="24"/>
          <w:szCs w:val="24"/>
        </w:rPr>
        <w:t xml:space="preserve"> </w:t>
      </w:r>
      <w:r w:rsidRPr="005930DD">
        <w:rPr>
          <w:sz w:val="24"/>
          <w:szCs w:val="24"/>
        </w:rPr>
        <w:t>zákonom č</w:t>
      </w:r>
      <w:r>
        <w:rPr>
          <w:sz w:val="24"/>
          <w:szCs w:val="24"/>
        </w:rPr>
        <w:t>.</w:t>
      </w:r>
      <w:r w:rsidRPr="005930DD">
        <w:rPr>
          <w:sz w:val="24"/>
          <w:szCs w:val="24"/>
        </w:rPr>
        <w:t xml:space="preserve"> 101/2010 Z. z. o preukazovaní pôvodu majetku</w:t>
      </w:r>
      <w:r>
        <w:rPr>
          <w:sz w:val="24"/>
          <w:szCs w:val="24"/>
        </w:rPr>
        <w:t xml:space="preserve"> (ďalej len „zákon o preukazovaní pôvodu majetku“), </w:t>
      </w:r>
      <w:r w:rsidRPr="00F23E70">
        <w:rPr>
          <w:rFonts w:eastAsia="Batang"/>
          <w:sz w:val="24"/>
          <w:szCs w:val="24"/>
        </w:rPr>
        <w:t>zákon č. 199/2004 Z. z. Colný zákon a o zmene a doplnení niektorých zákonov v znení neskorších pred</w:t>
      </w:r>
      <w:r>
        <w:rPr>
          <w:rFonts w:eastAsia="Batang"/>
          <w:sz w:val="24"/>
          <w:szCs w:val="24"/>
        </w:rPr>
        <w:t xml:space="preserve">pisov (ďalej len „Colný zákon“), </w:t>
      </w:r>
      <w:r w:rsidRPr="005930DD">
        <w:rPr>
          <w:sz w:val="24"/>
          <w:szCs w:val="24"/>
        </w:rPr>
        <w:t>právnymi</w:t>
      </w:r>
      <w:r>
        <w:rPr>
          <w:sz w:val="24"/>
          <w:szCs w:val="24"/>
        </w:rPr>
        <w:t xml:space="preserve"> predpismi a rozhodnutiami </w:t>
      </w:r>
      <w:r w:rsidRPr="005930DD">
        <w:rPr>
          <w:sz w:val="24"/>
          <w:szCs w:val="24"/>
        </w:rPr>
        <w:t>Európskej únie</w:t>
      </w:r>
      <w:r>
        <w:rPr>
          <w:sz w:val="24"/>
          <w:szCs w:val="24"/>
        </w:rPr>
        <w:t xml:space="preserve"> (n</w:t>
      </w:r>
      <w:r w:rsidRPr="00891BCC">
        <w:rPr>
          <w:rFonts w:eastAsia="Batang"/>
          <w:sz w:val="24"/>
          <w:szCs w:val="24"/>
        </w:rPr>
        <w:t>ariadenie Európskeho parlamentu a Rady (ES) č.</w:t>
      </w:r>
      <w:r>
        <w:rPr>
          <w:rFonts w:eastAsia="Batang"/>
          <w:sz w:val="24"/>
          <w:szCs w:val="24"/>
        </w:rPr>
        <w:t xml:space="preserve"> 1889/2005 o kontrole </w:t>
      </w:r>
      <w:r w:rsidRPr="00891BCC">
        <w:rPr>
          <w:rFonts w:eastAsia="Batang"/>
          <w:sz w:val="24"/>
          <w:szCs w:val="24"/>
        </w:rPr>
        <w:t xml:space="preserve">peňažných prostriedkov v hotovosti, ktoré vstupujú do Spoločenstva </w:t>
      </w:r>
      <w:r w:rsidRPr="00F23E70">
        <w:rPr>
          <w:rFonts w:eastAsia="Batang"/>
          <w:sz w:val="24"/>
          <w:szCs w:val="24"/>
        </w:rPr>
        <w:t>alebo vystupujú zo Spoločenstva</w:t>
      </w:r>
      <w:r>
        <w:rPr>
          <w:rFonts w:eastAsia="Batang"/>
          <w:sz w:val="24"/>
          <w:szCs w:val="24"/>
        </w:rPr>
        <w:t>,</w:t>
      </w:r>
      <w:r>
        <w:rPr>
          <w:sz w:val="24"/>
          <w:szCs w:val="24"/>
        </w:rPr>
        <w:t xml:space="preserve"> rámcové rozhodnutie Rady Európskej únie </w:t>
      </w:r>
      <w:r>
        <w:rPr>
          <w:sz w:val="24"/>
          <w:szCs w:val="24"/>
        </w:rPr>
        <w:lastRenderedPageBreak/>
        <w:t>č. 2006/960/SVV o zjednodušení výmeny informácií a spravodajských informácií medzi orgánmi členských štátov Európskej únie činnými v trestnom konaní (ďalej len „rozhodnutie č. 2006/960/SVV“), rozhodnutie Rady Európskej únie č. 2007/845/SVV o spolupráci medzi úradmi pre vyhľadávanie majetku v členských štátoch pri vypátraní a identifikácii príjmov z trestnej činnosti alebo iného majetku súvisiaceho s trestnou činnosťou (ďalej len „rozhodnutie č. 2007/845/SVV“), rozhodnutie rady č. 2000/642/JHA upravujúce spoluprácu pri výmene informácií medzi finančnými informačnými jednotkami členských štátov (ďalej len „rozhodnutie č. 2000/642/JHA“)) a medzinárodnými zmluvami ku ktorým Slovenská republika pristúpila (najmä Viedenský dohovor, Varšavský dohovor a Palermský dohovor).</w:t>
      </w:r>
    </w:p>
    <w:p w14:paraId="4359638E" w14:textId="77777777" w:rsidR="00216BD5" w:rsidRDefault="00216BD5" w:rsidP="00216BD5">
      <w:pPr>
        <w:spacing w:after="120"/>
        <w:rPr>
          <w:sz w:val="24"/>
          <w:szCs w:val="24"/>
        </w:rPr>
      </w:pPr>
      <w:r>
        <w:rPr>
          <w:sz w:val="24"/>
          <w:szCs w:val="24"/>
        </w:rPr>
        <w:tab/>
        <w:t xml:space="preserve">FSJ v rámci spolupráce s príslušnými policajnými zložkami iných krajín vzhľadom na svoje začlenenie v štruktúre Prezídia PZ postupuje aj v súlade bilaterálnymi zmluvami uzatvorenými na úrovni Ministerstva vnútra SR, respektíve na úrovni Prezídia PZ. Tieto zmluvy vo všeobecnosti upravujú spoluprácu v boji proti kriminalite, ale obsahujú aj časti týkajúce sa spolupráce a výmeny informácií pri riešení prípadov legalizácie príjmov z trestnej činnosti alebo financovania terorizmu. </w:t>
      </w:r>
    </w:p>
    <w:p w14:paraId="574D186D" w14:textId="77777777" w:rsidR="00216BD5" w:rsidRDefault="00216BD5" w:rsidP="00216BD5">
      <w:pPr>
        <w:spacing w:after="120"/>
        <w:rPr>
          <w:sz w:val="24"/>
          <w:szCs w:val="24"/>
        </w:rPr>
      </w:pPr>
      <w:r>
        <w:rPr>
          <w:sz w:val="24"/>
          <w:szCs w:val="24"/>
        </w:rPr>
        <w:tab/>
        <w:t xml:space="preserve">FSJ zriadená ako národná ústredná finančná spravodajská jednotka (Financial Intelligence Unit – FIU) je súčasťou celosvetovej siete finančných spravodajských jednotiek, ktorých úlohou je uplatňovanie medzinárodných štandardov Finančnej akčnej skupiny (ďalej len „FATF“) v oblasti boja proti praniu špinavých peňazí a financovaniu terorizmu. </w:t>
      </w:r>
    </w:p>
    <w:p w14:paraId="43AEDF45" w14:textId="77777777" w:rsidR="00216BD5" w:rsidRDefault="00216BD5" w:rsidP="00216BD5">
      <w:pPr>
        <w:spacing w:after="120"/>
        <w:rPr>
          <w:sz w:val="24"/>
          <w:szCs w:val="24"/>
        </w:rPr>
      </w:pPr>
      <w:r>
        <w:rPr>
          <w:sz w:val="24"/>
          <w:szCs w:val="24"/>
        </w:rPr>
        <w:tab/>
        <w:t>Úlohy a oprávnenia FSJ definované v zákone o ochrane pred legalizáciou sú dané Smernicou 2005/60/ES a Smernicou 2006/70/ES a vyplývajú aj z Dohovoru Rady Európy o praní špinavých peňazí, vyhľadávaní, zhabaní a konfiškácií ziskov z trestnej činnosti a o financovaní terorizmu z roku 2005. Smernica 2005/60/ES určuje rámec oprávnení a adekvátnej zodpovednosti národnej spravodajskej jednotky, čo umožňuje zachovať jeden zo základných princípov, na ktorých je postavený systém prevencie legalizácie a financovania terorizmu, a to ochrana informácií, ktoré FSJ prijíma od povinných osôb, ako jeden z rozhodujúcich prvkov zachovania dôvery medzi povinnými osobami a FSJ a následne medzi povinnými osobami a ich klientmi.</w:t>
      </w:r>
    </w:p>
    <w:p w14:paraId="26B83375" w14:textId="77777777" w:rsidR="00216BD5" w:rsidRDefault="00216BD5" w:rsidP="00216BD5">
      <w:pPr>
        <w:spacing w:after="120"/>
        <w:rPr>
          <w:sz w:val="24"/>
          <w:szCs w:val="24"/>
        </w:rPr>
      </w:pPr>
      <w:r>
        <w:rPr>
          <w:sz w:val="24"/>
          <w:szCs w:val="24"/>
        </w:rPr>
        <w:tab/>
        <w:t xml:space="preserve">Zákon o ochrane pred legalizáciou </w:t>
      </w:r>
      <w:r w:rsidRPr="005930DD">
        <w:rPr>
          <w:sz w:val="24"/>
          <w:szCs w:val="24"/>
        </w:rPr>
        <w:t xml:space="preserve">determinuje </w:t>
      </w:r>
      <w:r>
        <w:rPr>
          <w:sz w:val="24"/>
          <w:szCs w:val="24"/>
        </w:rPr>
        <w:t>FSJ</w:t>
      </w:r>
      <w:r w:rsidRPr="005930DD">
        <w:rPr>
          <w:sz w:val="24"/>
          <w:szCs w:val="24"/>
        </w:rPr>
        <w:t xml:space="preserve"> postavenie centrálnej národnej jednotky v oblasti predchádzania a odhaľovania legalizácie príjmov z trestnej činnosti a financovania terorizmu, čo značí, že je prioritne zameraná na prijímanie, evidovanie, analýzu, vyhodnocovanie a spracovávanie hlásení o neobvyklých obchodných operáciách.</w:t>
      </w:r>
    </w:p>
    <w:p w14:paraId="039ADDBC" w14:textId="77777777" w:rsidR="00216BD5" w:rsidRDefault="00216BD5" w:rsidP="00216BD5">
      <w:pPr>
        <w:spacing w:after="120"/>
        <w:rPr>
          <w:sz w:val="24"/>
          <w:szCs w:val="24"/>
        </w:rPr>
      </w:pPr>
      <w:r>
        <w:rPr>
          <w:sz w:val="24"/>
          <w:szCs w:val="24"/>
        </w:rPr>
        <w:tab/>
        <w:t xml:space="preserve">FSJ sa organizačne člení na päť oddelení: </w:t>
      </w:r>
    </w:p>
    <w:p w14:paraId="67391AAF" w14:textId="77777777" w:rsidR="00216BD5" w:rsidRDefault="00216BD5" w:rsidP="00216BD5">
      <w:pPr>
        <w:pStyle w:val="Odsekzoznamu"/>
        <w:numPr>
          <w:ilvl w:val="0"/>
          <w:numId w:val="7"/>
        </w:numPr>
        <w:spacing w:after="120" w:line="240" w:lineRule="auto"/>
        <w:rPr>
          <w:szCs w:val="24"/>
        </w:rPr>
      </w:pPr>
      <w:r>
        <w:rPr>
          <w:szCs w:val="24"/>
        </w:rPr>
        <w:t>oddelenie neobvyklých obchodných operácií,</w:t>
      </w:r>
    </w:p>
    <w:p w14:paraId="14C19DEB" w14:textId="77777777" w:rsidR="00216BD5" w:rsidRDefault="00216BD5" w:rsidP="00216BD5">
      <w:pPr>
        <w:pStyle w:val="Odsekzoznamu"/>
        <w:numPr>
          <w:ilvl w:val="0"/>
          <w:numId w:val="7"/>
        </w:numPr>
        <w:spacing w:after="120" w:line="240" w:lineRule="auto"/>
        <w:rPr>
          <w:szCs w:val="24"/>
        </w:rPr>
      </w:pPr>
      <w:r>
        <w:rPr>
          <w:szCs w:val="24"/>
        </w:rPr>
        <w:t>oddelenie kontroly povinných osôb,</w:t>
      </w:r>
    </w:p>
    <w:p w14:paraId="62D3FAE3" w14:textId="77777777" w:rsidR="00216BD5" w:rsidRDefault="00216BD5" w:rsidP="00216BD5">
      <w:pPr>
        <w:pStyle w:val="Odsekzoznamu"/>
        <w:numPr>
          <w:ilvl w:val="0"/>
          <w:numId w:val="7"/>
        </w:numPr>
        <w:spacing w:after="120" w:line="240" w:lineRule="auto"/>
        <w:rPr>
          <w:szCs w:val="24"/>
        </w:rPr>
      </w:pPr>
      <w:r>
        <w:rPr>
          <w:szCs w:val="24"/>
        </w:rPr>
        <w:t>oddelenie preverovania majetku,</w:t>
      </w:r>
    </w:p>
    <w:p w14:paraId="794CD158" w14:textId="77777777" w:rsidR="00216BD5" w:rsidRDefault="00216BD5" w:rsidP="00216BD5">
      <w:pPr>
        <w:pStyle w:val="Odsekzoznamu"/>
        <w:numPr>
          <w:ilvl w:val="0"/>
          <w:numId w:val="7"/>
        </w:numPr>
        <w:spacing w:after="120" w:line="240" w:lineRule="auto"/>
        <w:rPr>
          <w:szCs w:val="24"/>
        </w:rPr>
      </w:pPr>
      <w:r>
        <w:rPr>
          <w:szCs w:val="24"/>
        </w:rPr>
        <w:t>oddelenie medzinárodnej spolupráce,</w:t>
      </w:r>
    </w:p>
    <w:p w14:paraId="130818FA" w14:textId="77777777" w:rsidR="00216BD5" w:rsidRPr="00A10B57" w:rsidRDefault="00216BD5" w:rsidP="00216BD5">
      <w:pPr>
        <w:pStyle w:val="Odsekzoznamu"/>
        <w:numPr>
          <w:ilvl w:val="0"/>
          <w:numId w:val="7"/>
        </w:numPr>
        <w:spacing w:after="120" w:line="240" w:lineRule="auto"/>
        <w:rPr>
          <w:szCs w:val="24"/>
        </w:rPr>
      </w:pPr>
      <w:r>
        <w:rPr>
          <w:szCs w:val="24"/>
        </w:rPr>
        <w:t>analytické oddelenie.</w:t>
      </w:r>
    </w:p>
    <w:p w14:paraId="38B2F9F9" w14:textId="77777777" w:rsidR="00216BD5" w:rsidRDefault="00216BD5" w:rsidP="00216BD5">
      <w:pPr>
        <w:spacing w:after="120"/>
      </w:pPr>
      <w:r>
        <w:rPr>
          <w:sz w:val="24"/>
          <w:szCs w:val="24"/>
        </w:rPr>
        <w:tab/>
        <w:t xml:space="preserve"> </w:t>
      </w:r>
      <w:r>
        <w:rPr>
          <w:sz w:val="24"/>
          <w:szCs w:val="24"/>
        </w:rPr>
        <w:tab/>
      </w:r>
      <w:bookmarkStart w:id="3" w:name="_Toc412466384"/>
    </w:p>
    <w:p w14:paraId="452CA66A" w14:textId="77777777" w:rsidR="00216BD5" w:rsidRPr="009231D9" w:rsidRDefault="00216BD5" w:rsidP="00216BD5">
      <w:pPr>
        <w:pStyle w:val="Nzovkapitoly"/>
        <w:spacing w:after="120"/>
      </w:pPr>
      <w:r>
        <w:t>2. Neobvyklé obchodné operácie</w:t>
      </w:r>
      <w:bookmarkEnd w:id="3"/>
    </w:p>
    <w:p w14:paraId="5CF90BFE" w14:textId="77777777" w:rsidR="00216BD5" w:rsidRDefault="00216BD5" w:rsidP="00216BD5">
      <w:pPr>
        <w:spacing w:after="120"/>
        <w:rPr>
          <w:rFonts w:eastAsiaTheme="minorHAnsi" w:cstheme="minorBidi"/>
          <w:sz w:val="24"/>
          <w:szCs w:val="24"/>
          <w:lang w:eastAsia="en-US"/>
        </w:rPr>
      </w:pPr>
    </w:p>
    <w:p w14:paraId="594E0728"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Neobvyklá obchodná operácia (ďalej len „NOO“) je v zmysle zákona o ochrane pred legalizáciou definovaná </w:t>
      </w:r>
      <w:r>
        <w:rPr>
          <w:rFonts w:eastAsiaTheme="minorHAnsi" w:cstheme="minorBidi"/>
          <w:sz w:val="24"/>
          <w:szCs w:val="24"/>
          <w:lang w:eastAsia="en-US"/>
        </w:rPr>
        <w:t>tak</w:t>
      </w:r>
      <w:r w:rsidRPr="00477BD4">
        <w:rPr>
          <w:rFonts w:eastAsiaTheme="minorHAnsi" w:cstheme="minorBidi"/>
          <w:sz w:val="24"/>
          <w:szCs w:val="24"/>
          <w:lang w:eastAsia="en-US"/>
        </w:rPr>
        <w:t>, aby obsiahla právne úkony alebo iné úkony nasvedčujúce tomu, že ich vykonaním môže dôjsť k legalizácii príjmov z trestnej činnosti</w:t>
      </w:r>
      <w:r>
        <w:rPr>
          <w:rFonts w:eastAsiaTheme="minorHAnsi" w:cstheme="minorBidi"/>
          <w:sz w:val="24"/>
          <w:szCs w:val="24"/>
          <w:lang w:eastAsia="en-US"/>
        </w:rPr>
        <w:t xml:space="preserve"> </w:t>
      </w:r>
      <w:r w:rsidRPr="00477BD4">
        <w:rPr>
          <w:rFonts w:eastAsiaTheme="minorHAnsi" w:cstheme="minorBidi"/>
          <w:sz w:val="24"/>
          <w:szCs w:val="24"/>
          <w:lang w:eastAsia="en-US"/>
        </w:rPr>
        <w:t>alebo k financovaniu terorizmu.</w:t>
      </w:r>
      <w:r>
        <w:rPr>
          <w:rFonts w:eastAsiaTheme="minorHAnsi" w:cstheme="minorBidi"/>
          <w:sz w:val="24"/>
          <w:szCs w:val="24"/>
          <w:lang w:eastAsia="en-US"/>
        </w:rPr>
        <w:t xml:space="preserve"> </w:t>
      </w:r>
      <w:r w:rsidRPr="00477BD4">
        <w:rPr>
          <w:rFonts w:eastAsiaTheme="minorHAnsi" w:cstheme="minorBidi"/>
          <w:sz w:val="24"/>
          <w:szCs w:val="24"/>
          <w:lang w:eastAsia="en-US"/>
        </w:rPr>
        <w:t>Demonštratívny výpočet NOO, ktorý vznikol sústavnou analytickou činnosťou jednotlivých hlásení o NOO a zovšeobecnením nadobudnutých poznatkov</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pri posudzovaní </w:t>
      </w:r>
      <w:r w:rsidRPr="00477BD4">
        <w:rPr>
          <w:rFonts w:eastAsiaTheme="minorHAnsi" w:cstheme="minorBidi"/>
          <w:sz w:val="24"/>
          <w:szCs w:val="24"/>
          <w:lang w:eastAsia="en-US"/>
        </w:rPr>
        <w:lastRenderedPageBreak/>
        <w:t xml:space="preserve">obchodných operácií na princípe „poznaj svojho klienta“ v ustanovení § 4 </w:t>
      </w:r>
      <w:r>
        <w:rPr>
          <w:rFonts w:eastAsiaTheme="minorHAnsi" w:cstheme="minorBidi"/>
          <w:sz w:val="24"/>
          <w:szCs w:val="24"/>
          <w:lang w:eastAsia="en-US"/>
        </w:rPr>
        <w:t xml:space="preserve">zákona o ochrane pred legalizáciou </w:t>
      </w:r>
      <w:r w:rsidRPr="00477BD4">
        <w:rPr>
          <w:rFonts w:eastAsiaTheme="minorHAnsi" w:cstheme="minorBidi"/>
          <w:sz w:val="24"/>
          <w:szCs w:val="24"/>
          <w:lang w:eastAsia="en-US"/>
        </w:rPr>
        <w:t>zahŕňa najčastejšie sa vyskytujúce formy NOO.</w:t>
      </w:r>
      <w:r>
        <w:rPr>
          <w:rFonts w:eastAsiaTheme="minorHAnsi" w:cstheme="minorBidi"/>
          <w:sz w:val="24"/>
          <w:szCs w:val="24"/>
          <w:lang w:eastAsia="en-US"/>
        </w:rPr>
        <w:t xml:space="preserve"> </w:t>
      </w:r>
    </w:p>
    <w:p w14:paraId="21757B59"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V prípade, že skutočnosti vyplývajúce z jednotlivých hlásení</w:t>
      </w:r>
      <w:r>
        <w:rPr>
          <w:rFonts w:eastAsiaTheme="minorHAnsi" w:cstheme="minorBidi"/>
          <w:sz w:val="24"/>
          <w:szCs w:val="24"/>
          <w:lang w:eastAsia="en-US"/>
        </w:rPr>
        <w:t xml:space="preserve"> o NOO</w:t>
      </w:r>
      <w:r w:rsidRPr="00477BD4">
        <w:rPr>
          <w:rFonts w:eastAsiaTheme="minorHAnsi" w:cstheme="minorBidi"/>
          <w:sz w:val="24"/>
          <w:szCs w:val="24"/>
          <w:lang w:eastAsia="en-US"/>
        </w:rPr>
        <w:t xml:space="preserve"> nasvedčujú tomu, že bol spáchaný trestný čin, respektíve, že vykonaním NOO môže byť spáchaný trestný čin a hrozí zmarenie, či sťaženie zaistenia príjmu z trestnej činnosti, alebo preverované informácie súvisia s už vedeným trestným konaním a môžu byť pre takéto konanie dôležité,</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 sú tieto informácie odstupované vecne a miestne príslušným orgánom činným v trestnom konaní (ďalej len „OČTK“) či príslušným útvarom P</w:t>
      </w:r>
      <w:r>
        <w:rPr>
          <w:rFonts w:eastAsiaTheme="minorHAnsi" w:cstheme="minorBidi"/>
          <w:sz w:val="24"/>
          <w:szCs w:val="24"/>
          <w:lang w:eastAsia="en-US"/>
        </w:rPr>
        <w:t>Z</w:t>
      </w:r>
      <w:r w:rsidRPr="00477BD4">
        <w:rPr>
          <w:rFonts w:eastAsiaTheme="minorHAnsi" w:cstheme="minorBidi"/>
          <w:sz w:val="24"/>
          <w:szCs w:val="24"/>
          <w:lang w:eastAsia="en-US"/>
        </w:rPr>
        <w:t xml:space="preserve"> na plnenie úloh podľa zákona o PZ.</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V rámci plnenia služobných úloh a spolupráce pri výmene a preverovaní informácií potrebných pri predchádzaní a odhaľovaní legalizácie príjmov z trestnej činnosti, či financovania terorizmu  môžu byť tieto odstúpené aj zahraničným finančným spravodajským jednotkám (ďalej len „FIU“). Ak je pracovníkom oddelenia </w:t>
      </w:r>
      <w:r>
        <w:rPr>
          <w:rFonts w:eastAsiaTheme="minorHAnsi" w:cstheme="minorBidi"/>
          <w:sz w:val="24"/>
          <w:szCs w:val="24"/>
          <w:lang w:eastAsia="en-US"/>
        </w:rPr>
        <w:t>neobvyklých obchodných operácií</w:t>
      </w:r>
      <w:r w:rsidRPr="00477BD4">
        <w:rPr>
          <w:rFonts w:eastAsiaTheme="minorHAnsi" w:cstheme="minorBidi"/>
          <w:sz w:val="24"/>
          <w:szCs w:val="24"/>
          <w:lang w:eastAsia="en-US"/>
        </w:rPr>
        <w:t xml:space="preserve"> v súvislosti s preverovaním hlásenia o NOO zistené, že povinná osoba neplní, alebo porušuje povinnosti uložené zákonom o ochrane pred legalizáciou, alebo informácia je relevantná za účelom preverovania majetku, uvedenú informáciu o tejto skutočnosti odstúpi</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na oddelenie kontroly </w:t>
      </w:r>
      <w:r>
        <w:rPr>
          <w:rFonts w:eastAsiaTheme="minorHAnsi" w:cstheme="minorBidi"/>
          <w:sz w:val="24"/>
          <w:szCs w:val="24"/>
          <w:lang w:eastAsia="en-US"/>
        </w:rPr>
        <w:t xml:space="preserve">povinných </w:t>
      </w:r>
      <w:r w:rsidRPr="00477BD4">
        <w:rPr>
          <w:rFonts w:eastAsiaTheme="minorHAnsi" w:cstheme="minorBidi"/>
          <w:sz w:val="24"/>
          <w:szCs w:val="24"/>
          <w:lang w:eastAsia="en-US"/>
        </w:rPr>
        <w:t xml:space="preserve">osôb, či oddelenie preverovania majetku. </w:t>
      </w:r>
    </w:p>
    <w:p w14:paraId="3309DBCD"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V prípadoch, kedy v rámci preverovania hlásenia</w:t>
      </w:r>
      <w:r>
        <w:rPr>
          <w:rFonts w:eastAsiaTheme="minorHAnsi" w:cstheme="minorBidi"/>
          <w:sz w:val="24"/>
          <w:szCs w:val="24"/>
          <w:lang w:eastAsia="en-US"/>
        </w:rPr>
        <w:t xml:space="preserve"> o NOO</w:t>
      </w:r>
      <w:r w:rsidRPr="00477BD4">
        <w:rPr>
          <w:rFonts w:eastAsiaTheme="minorHAnsi" w:cstheme="minorBidi"/>
          <w:sz w:val="24"/>
          <w:szCs w:val="24"/>
          <w:lang w:eastAsia="en-US"/>
        </w:rPr>
        <w:t xml:space="preserve"> neboli zistené také skutočnosti, ktoré by odôvodňovali postúpenie informácie OČTK, príslušným útvarom </w:t>
      </w:r>
      <w:r>
        <w:rPr>
          <w:rFonts w:eastAsiaTheme="minorHAnsi" w:cstheme="minorBidi"/>
          <w:sz w:val="24"/>
          <w:szCs w:val="24"/>
          <w:lang w:eastAsia="en-US"/>
        </w:rPr>
        <w:t>PZ</w:t>
      </w:r>
      <w:r w:rsidRPr="00477BD4">
        <w:rPr>
          <w:rFonts w:eastAsiaTheme="minorHAnsi" w:cstheme="minorBidi"/>
          <w:sz w:val="24"/>
          <w:szCs w:val="24"/>
          <w:lang w:eastAsia="en-US"/>
        </w:rPr>
        <w:t>,</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 </w:t>
      </w:r>
      <w:r>
        <w:rPr>
          <w:rFonts w:eastAsiaTheme="minorHAnsi" w:cstheme="minorBidi"/>
          <w:sz w:val="24"/>
          <w:szCs w:val="24"/>
          <w:lang w:eastAsia="en-US"/>
        </w:rPr>
        <w:t>finančnej správe</w:t>
      </w:r>
      <w:r w:rsidRPr="00477BD4">
        <w:rPr>
          <w:rFonts w:eastAsiaTheme="minorHAnsi" w:cstheme="minorBidi"/>
          <w:sz w:val="24"/>
          <w:szCs w:val="24"/>
          <w:lang w:eastAsia="en-US"/>
        </w:rPr>
        <w:t>, či</w:t>
      </w:r>
      <w:r>
        <w:rPr>
          <w:rFonts w:eastAsiaTheme="minorHAnsi" w:cstheme="minorBidi"/>
          <w:sz w:val="24"/>
          <w:szCs w:val="24"/>
          <w:lang w:eastAsia="en-US"/>
        </w:rPr>
        <w:t> </w:t>
      </w:r>
      <w:r w:rsidRPr="00477BD4">
        <w:rPr>
          <w:rFonts w:eastAsiaTheme="minorHAnsi" w:cstheme="minorBidi"/>
          <w:sz w:val="24"/>
          <w:szCs w:val="24"/>
          <w:lang w:eastAsia="en-US"/>
        </w:rPr>
        <w:t xml:space="preserve">zahraničnej FIU, sú tieto informácie vkladané do </w:t>
      </w:r>
      <w:r>
        <w:rPr>
          <w:rFonts w:eastAsiaTheme="minorHAnsi" w:cstheme="minorBidi"/>
          <w:sz w:val="24"/>
          <w:szCs w:val="24"/>
          <w:lang w:eastAsia="en-US"/>
        </w:rPr>
        <w:t>komplexného informačného systému FSJ</w:t>
      </w:r>
      <w:r w:rsidRPr="00477BD4">
        <w:rPr>
          <w:rFonts w:eastAsiaTheme="minorHAnsi" w:cstheme="minorBidi"/>
          <w:sz w:val="24"/>
          <w:szCs w:val="24"/>
          <w:lang w:eastAsia="en-US"/>
        </w:rPr>
        <w:t xml:space="preserve"> na ich ďalšie, neskoršie využitie v rámci preverovania iných prípadov. </w:t>
      </w:r>
    </w:p>
    <w:p w14:paraId="1C42127A" w14:textId="77777777" w:rsidR="00216BD5" w:rsidRPr="009231D9" w:rsidRDefault="00216BD5" w:rsidP="00216BD5">
      <w:pPr>
        <w:pStyle w:val="Podnadpis"/>
      </w:pPr>
      <w:bookmarkStart w:id="4" w:name="_Toc412466385"/>
      <w:r w:rsidRPr="009231D9">
        <w:t>2.1</w:t>
      </w:r>
      <w:r>
        <w:t xml:space="preserve"> </w:t>
      </w:r>
      <w:r w:rsidRPr="009231D9">
        <w:t>Štruktúra povinných osôb a štatistika hlásení o NOO</w:t>
      </w:r>
      <w:bookmarkEnd w:id="4"/>
    </w:p>
    <w:p w14:paraId="2DCBA558" w14:textId="77777777" w:rsidR="00216BD5" w:rsidRPr="009231D9" w:rsidRDefault="00216BD5" w:rsidP="00216BD5">
      <w:pPr>
        <w:spacing w:after="120"/>
        <w:rPr>
          <w:rFonts w:eastAsiaTheme="minorHAnsi" w:cstheme="minorBidi"/>
          <w:sz w:val="24"/>
          <w:szCs w:val="24"/>
          <w:lang w:eastAsia="en-US"/>
        </w:rPr>
      </w:pPr>
    </w:p>
    <w:p w14:paraId="7892DE55"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V roku 2014 FSJ prijala od všetkých povinných osôb spolu 3928 hlásení o NOO v celkovej hodnote 3.042.458.478,- EUR. Nakoľko išlo v danom období o veľké množstvo prijatých hlásení o NOO, okrem oddelenia NOO na spracovávaní a vyhodnotení</w:t>
      </w:r>
      <w:r>
        <w:rPr>
          <w:rFonts w:eastAsiaTheme="minorHAnsi" w:cstheme="minorBidi"/>
          <w:sz w:val="24"/>
          <w:szCs w:val="24"/>
          <w:lang w:eastAsia="en-US"/>
        </w:rPr>
        <w:t xml:space="preserve"> </w:t>
      </w:r>
      <w:r w:rsidRPr="00477BD4">
        <w:rPr>
          <w:rFonts w:eastAsiaTheme="minorHAnsi" w:cstheme="minorBidi"/>
          <w:sz w:val="24"/>
          <w:szCs w:val="24"/>
          <w:lang w:eastAsia="en-US"/>
        </w:rPr>
        <w:t>hlásení</w:t>
      </w:r>
      <w:r>
        <w:rPr>
          <w:rFonts w:eastAsiaTheme="minorHAnsi" w:cstheme="minorBidi"/>
          <w:sz w:val="24"/>
          <w:szCs w:val="24"/>
          <w:lang w:eastAsia="en-US"/>
        </w:rPr>
        <w:t xml:space="preserve"> o NOO</w:t>
      </w:r>
      <w:r w:rsidRPr="00477BD4">
        <w:rPr>
          <w:rFonts w:eastAsiaTheme="minorHAnsi" w:cstheme="minorBidi"/>
          <w:sz w:val="24"/>
          <w:szCs w:val="24"/>
          <w:lang w:eastAsia="en-US"/>
        </w:rPr>
        <w:t xml:space="preserve"> povinných osôb participovali aj pracovníci ostatných oddelení FSJ – oddelenia kontroly povinných osôb, oddelenia preverovania majetku, oddelenia medzinárodnej spolupráce</w:t>
      </w:r>
      <w:r>
        <w:rPr>
          <w:rFonts w:eastAsiaTheme="minorHAnsi" w:cstheme="minorBidi"/>
          <w:sz w:val="24"/>
          <w:szCs w:val="24"/>
          <w:lang w:eastAsia="en-US"/>
        </w:rPr>
        <w:t xml:space="preserve"> </w:t>
      </w:r>
      <w:r w:rsidRPr="00477BD4">
        <w:rPr>
          <w:rFonts w:eastAsiaTheme="minorHAnsi" w:cstheme="minorBidi"/>
          <w:sz w:val="24"/>
          <w:szCs w:val="24"/>
          <w:lang w:eastAsia="en-US"/>
        </w:rPr>
        <w:t>a analytického oddelenia.</w:t>
      </w:r>
    </w:p>
    <w:p w14:paraId="35685A04"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 xml:space="preserve"> </w:t>
      </w:r>
      <w:r w:rsidRPr="00477BD4">
        <w:rPr>
          <w:rFonts w:eastAsiaTheme="minorHAnsi" w:cstheme="minorBidi"/>
          <w:sz w:val="24"/>
          <w:szCs w:val="24"/>
          <w:lang w:eastAsia="en-US"/>
        </w:rPr>
        <w:tab/>
        <w:t>Na základe charakteru povinných osôb v zmysle zákona o ochrane pred legalizáciou možno jednotlivé hlásenia o NOO prijaté v roku 2014</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štatisticky rozdeliť do troch základných skupín: </w:t>
      </w:r>
    </w:p>
    <w:p w14:paraId="7F521DF2" w14:textId="77777777" w:rsidR="00216BD5" w:rsidRPr="00477BD4" w:rsidRDefault="00216BD5" w:rsidP="00216BD5">
      <w:pPr>
        <w:numPr>
          <w:ilvl w:val="0"/>
          <w:numId w:val="1"/>
        </w:numPr>
        <w:ind w:left="714" w:hanging="357"/>
        <w:contextualSpacing/>
        <w:jc w:val="left"/>
        <w:rPr>
          <w:rFonts w:eastAsiaTheme="minorHAnsi" w:cstheme="minorBidi"/>
          <w:sz w:val="24"/>
          <w:szCs w:val="24"/>
          <w:lang w:eastAsia="en-US"/>
        </w:rPr>
      </w:pPr>
      <w:r w:rsidRPr="00477BD4">
        <w:rPr>
          <w:rFonts w:eastAsiaTheme="minorHAnsi" w:cstheme="minorBidi"/>
          <w:sz w:val="24"/>
          <w:szCs w:val="24"/>
          <w:lang w:eastAsia="en-US"/>
        </w:rPr>
        <w:t>hlásenia o NOO od všetkých bánk pôsobiacich na území SR vrátane Národnej banky Slovenska v celkovom počte 3378,</w:t>
      </w:r>
    </w:p>
    <w:p w14:paraId="0C53CC98" w14:textId="77777777" w:rsidR="00216BD5" w:rsidRPr="00477BD4" w:rsidRDefault="00216BD5" w:rsidP="00216BD5">
      <w:pPr>
        <w:numPr>
          <w:ilvl w:val="0"/>
          <w:numId w:val="1"/>
        </w:numPr>
        <w:ind w:left="714" w:hanging="357"/>
        <w:contextualSpacing/>
        <w:jc w:val="left"/>
        <w:rPr>
          <w:rFonts w:eastAsiaTheme="minorHAnsi" w:cstheme="minorBidi"/>
          <w:sz w:val="24"/>
          <w:szCs w:val="24"/>
          <w:lang w:eastAsia="en-US"/>
        </w:rPr>
      </w:pPr>
      <w:r w:rsidRPr="00477BD4">
        <w:rPr>
          <w:rFonts w:eastAsiaTheme="minorHAnsi" w:cstheme="minorBidi"/>
          <w:sz w:val="24"/>
          <w:szCs w:val="24"/>
          <w:lang w:eastAsia="en-US"/>
        </w:rPr>
        <w:t>hlásenia o NOO prijaté od ostatných finančných inštitúcií, ktoré nie sú bankou v celkovom počte 395,</w:t>
      </w:r>
    </w:p>
    <w:p w14:paraId="05DCAA7B" w14:textId="77777777" w:rsidR="00216BD5" w:rsidRPr="00F75DAA" w:rsidRDefault="00216BD5" w:rsidP="00216BD5">
      <w:pPr>
        <w:numPr>
          <w:ilvl w:val="0"/>
          <w:numId w:val="1"/>
        </w:numPr>
        <w:ind w:left="714" w:hanging="357"/>
        <w:contextualSpacing/>
        <w:jc w:val="left"/>
        <w:rPr>
          <w:rFonts w:eastAsiaTheme="minorHAnsi" w:cstheme="minorBidi"/>
          <w:sz w:val="24"/>
          <w:szCs w:val="24"/>
          <w:lang w:eastAsia="en-US"/>
        </w:rPr>
      </w:pPr>
      <w:r w:rsidRPr="00477BD4">
        <w:rPr>
          <w:rFonts w:eastAsiaTheme="minorHAnsi" w:cstheme="minorBidi"/>
          <w:sz w:val="24"/>
          <w:szCs w:val="24"/>
          <w:lang w:eastAsia="en-US"/>
        </w:rPr>
        <w:t>hlásenia o NOO prijaté od nefinančných</w:t>
      </w:r>
      <w:r>
        <w:rPr>
          <w:rFonts w:eastAsiaTheme="minorHAnsi" w:cstheme="minorBidi"/>
          <w:sz w:val="24"/>
          <w:szCs w:val="24"/>
          <w:lang w:eastAsia="en-US"/>
        </w:rPr>
        <w:t xml:space="preserve"> inštitúcií</w:t>
      </w:r>
      <w:r w:rsidRPr="00477BD4">
        <w:rPr>
          <w:rFonts w:eastAsiaTheme="minorHAnsi" w:cstheme="minorBidi"/>
          <w:sz w:val="24"/>
          <w:szCs w:val="24"/>
          <w:lang w:eastAsia="en-US"/>
        </w:rPr>
        <w:t xml:space="preserve"> v celkovom počte 155.</w:t>
      </w:r>
    </w:p>
    <w:p w14:paraId="7D84DA31" w14:textId="6235C75C" w:rsidR="00216BD5" w:rsidRDefault="00216BD5" w:rsidP="00216BD5">
      <w:pPr>
        <w:spacing w:after="120"/>
        <w:jc w:val="left"/>
        <w:rPr>
          <w:rFonts w:eastAsiaTheme="minorHAnsi" w:cstheme="minorBidi"/>
          <w:lang w:eastAsia="en-US"/>
        </w:rPr>
      </w:pPr>
    </w:p>
    <w:p w14:paraId="6CB37BC4" w14:textId="442E0138" w:rsidR="00216BD5" w:rsidRPr="00F75DAA" w:rsidRDefault="009D307D" w:rsidP="00216BD5">
      <w:pPr>
        <w:spacing w:after="120"/>
        <w:jc w:val="left"/>
        <w:rPr>
          <w:rFonts w:eastAsiaTheme="minorHAnsi" w:cstheme="minorBidi"/>
          <w:sz w:val="24"/>
          <w:szCs w:val="24"/>
          <w:lang w:eastAsia="en-US"/>
        </w:rPr>
      </w:pPr>
      <w:r>
        <w:rPr>
          <w:rFonts w:eastAsiaTheme="minorHAnsi" w:cstheme="minorBidi"/>
          <w:noProof/>
        </w:rPr>
        <mc:AlternateContent>
          <mc:Choice Requires="wps">
            <w:drawing>
              <wp:anchor distT="0" distB="0" distL="114300" distR="114300" simplePos="0" relativeHeight="251660288" behindDoc="0" locked="0" layoutInCell="1" allowOverlap="1" wp14:anchorId="73372519" wp14:editId="6F9E17B9">
                <wp:simplePos x="0" y="0"/>
                <wp:positionH relativeFrom="column">
                  <wp:posOffset>4186555</wp:posOffset>
                </wp:positionH>
                <wp:positionV relativeFrom="paragraph">
                  <wp:posOffset>1422400</wp:posOffset>
                </wp:positionV>
                <wp:extent cx="1168400" cy="158750"/>
                <wp:effectExtent l="0" t="0" r="0" b="0"/>
                <wp:wrapNone/>
                <wp:docPr id="8" name="Blok textu 8"/>
                <wp:cNvGraphicFramePr/>
                <a:graphic xmlns:a="http://schemas.openxmlformats.org/drawingml/2006/main">
                  <a:graphicData uri="http://schemas.microsoft.com/office/word/2010/wordprocessingShape">
                    <wps:wsp>
                      <wps:cNvSpPr txBox="1"/>
                      <wps:spPr>
                        <a:xfrm>
                          <a:off x="0" y="0"/>
                          <a:ext cx="116840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F2D71" w14:textId="3412918F" w:rsidR="006703BB" w:rsidRDefault="006703BB">
                            <w:r>
                              <w:t>Nefinančné inštitúcie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372519" id="_x0000_t202" coordsize="21600,21600" o:spt="202" path="m,l,21600r21600,l21600,xe">
                <v:stroke joinstyle="miter"/>
                <v:path gradientshapeok="t" o:connecttype="rect"/>
              </v:shapetype>
              <v:shape id="Blok textu 8" o:spid="_x0000_s1026" type="#_x0000_t202" style="position:absolute;margin-left:329.65pt;margin-top:112pt;width:92pt;height: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" fillcolor="white [3201]" stroked="f" strokeweight=".5pt">
                <v:textbox inset="0,0,0,0">
                  <w:txbxContent>
                    <w:p w14:paraId="318F2D71" w14:textId="3412918F" w:rsidR="006703BB" w:rsidRDefault="006703BB">
                      <w:r>
                        <w:t>Nefinančné inštitúcie</w:t>
                      </w:r>
                    </w:p>
                  </w:txbxContent>
                </v:textbox>
              </v:shape>
            </w:pict>
          </mc:Fallback>
        </mc:AlternateContent>
      </w:r>
      <w:r w:rsidR="00216BD5" w:rsidRPr="00477BD4">
        <w:rPr>
          <w:rFonts w:eastAsiaTheme="minorHAnsi" w:cstheme="minorBidi"/>
          <w:lang w:eastAsia="en-US"/>
        </w:rPr>
        <w:t>Graf č.</w:t>
      </w:r>
      <w:r w:rsidR="00216BD5">
        <w:rPr>
          <w:rFonts w:eastAsiaTheme="minorHAnsi" w:cstheme="minorBidi"/>
          <w:lang w:eastAsia="en-US"/>
        </w:rPr>
        <w:t xml:space="preserve"> 1</w:t>
      </w:r>
      <w:r w:rsidR="00216BD5" w:rsidRPr="00477BD4">
        <w:rPr>
          <w:rFonts w:eastAsiaTheme="minorHAnsi" w:cstheme="minorBidi"/>
          <w:lang w:eastAsia="en-US"/>
        </w:rPr>
        <w:t>: Celkový počet</w:t>
      </w:r>
      <w:r w:rsidR="00216BD5">
        <w:rPr>
          <w:rFonts w:eastAsiaTheme="minorHAnsi" w:cstheme="minorBidi"/>
          <w:lang w:eastAsia="en-US"/>
        </w:rPr>
        <w:t xml:space="preserve"> </w:t>
      </w:r>
      <w:r w:rsidR="00216BD5" w:rsidRPr="00477BD4">
        <w:rPr>
          <w:rFonts w:eastAsiaTheme="minorHAnsi" w:cstheme="minorBidi"/>
          <w:lang w:eastAsia="en-US"/>
        </w:rPr>
        <w:t xml:space="preserve">prijatých hlásení o NOO za rok 2014 </w:t>
      </w:r>
      <w:r w:rsidR="00216BD5" w:rsidRPr="00477BD4">
        <w:rPr>
          <w:rFonts w:eastAsiaTheme="minorHAnsi" w:cstheme="minorBidi"/>
          <w:sz w:val="24"/>
          <w:szCs w:val="24"/>
          <w:lang w:eastAsia="en-US"/>
        </w:rPr>
        <w:t xml:space="preserve"> </w:t>
      </w:r>
      <w:r w:rsidR="00216BD5" w:rsidRPr="00413AC8">
        <w:rPr>
          <w:rFonts w:eastAsiaTheme="minorHAnsi" w:cstheme="minorBidi"/>
          <w:noProof/>
          <w:sz w:val="18"/>
          <w:szCs w:val="22"/>
        </w:rPr>
        <w:drawing>
          <wp:inline distT="0" distB="0" distL="0" distR="0" wp14:anchorId="4D661733" wp14:editId="6094E61A">
            <wp:extent cx="5676900" cy="1699260"/>
            <wp:effectExtent l="0" t="0" r="19050" b="1524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9FF2AF" w14:textId="77777777" w:rsidR="00216BD5" w:rsidRPr="00477BD4" w:rsidRDefault="00216BD5" w:rsidP="00216BD5">
      <w:pPr>
        <w:spacing w:after="120"/>
        <w:rPr>
          <w:rFonts w:eastAsiaTheme="minorHAnsi" w:cstheme="minorBidi"/>
          <w:lang w:eastAsia="en-US"/>
        </w:rPr>
      </w:pPr>
      <w:r>
        <w:rPr>
          <w:rFonts w:eastAsiaTheme="minorHAnsi" w:cstheme="minorBidi"/>
          <w:lang w:eastAsia="en-US"/>
        </w:rPr>
        <w:lastRenderedPageBreak/>
        <w:t>Graf č. 2</w:t>
      </w:r>
      <w:r w:rsidRPr="00477BD4">
        <w:rPr>
          <w:rFonts w:eastAsiaTheme="minorHAnsi" w:cstheme="minorBidi"/>
          <w:lang w:eastAsia="en-US"/>
        </w:rPr>
        <w:t>: Dynamika vývoja prijatých</w:t>
      </w:r>
      <w:r>
        <w:rPr>
          <w:rFonts w:eastAsiaTheme="minorHAnsi" w:cstheme="minorBidi"/>
          <w:lang w:eastAsia="en-US"/>
        </w:rPr>
        <w:t xml:space="preserve"> hlásení o</w:t>
      </w:r>
      <w:r w:rsidRPr="00477BD4">
        <w:rPr>
          <w:rFonts w:eastAsiaTheme="minorHAnsi" w:cstheme="minorBidi"/>
          <w:lang w:eastAsia="en-US"/>
        </w:rPr>
        <w:t xml:space="preserve"> NOO v rokoch 2009 – 2014</w:t>
      </w:r>
    </w:p>
    <w:p w14:paraId="5F2DED61" w14:textId="77777777" w:rsidR="00216BD5" w:rsidRPr="00477BD4" w:rsidRDefault="00216BD5" w:rsidP="00216BD5">
      <w:pPr>
        <w:spacing w:after="120"/>
        <w:rPr>
          <w:rFonts w:eastAsiaTheme="minorHAnsi" w:cstheme="minorBidi"/>
          <w:lang w:eastAsia="en-US"/>
        </w:rPr>
      </w:pPr>
      <w:r w:rsidRPr="00477BD4">
        <w:rPr>
          <w:rFonts w:eastAsiaTheme="minorHAnsi" w:cstheme="minorBidi"/>
          <w:noProof/>
          <w:sz w:val="24"/>
          <w:szCs w:val="22"/>
        </w:rPr>
        <w:drawing>
          <wp:inline distT="0" distB="0" distL="0" distR="0" wp14:anchorId="4B4C66D6" wp14:editId="4D11EF17">
            <wp:extent cx="5686425" cy="2976245"/>
            <wp:effectExtent l="0" t="0" r="9525" b="1460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F878DA" w14:textId="77777777" w:rsidR="00216BD5" w:rsidRDefault="00216BD5" w:rsidP="00216BD5">
      <w:pPr>
        <w:spacing w:after="120"/>
        <w:rPr>
          <w:rFonts w:eastAsiaTheme="minorHAnsi" w:cstheme="minorBidi"/>
          <w:lang w:eastAsia="en-US"/>
        </w:rPr>
      </w:pPr>
    </w:p>
    <w:p w14:paraId="7A41427F" w14:textId="77777777" w:rsidR="00216BD5" w:rsidRPr="00477BD4" w:rsidRDefault="00216BD5" w:rsidP="00216BD5">
      <w:pPr>
        <w:spacing w:after="120"/>
        <w:rPr>
          <w:rFonts w:eastAsiaTheme="minorHAnsi" w:cstheme="minorBidi"/>
          <w:lang w:eastAsia="en-US"/>
        </w:rPr>
      </w:pPr>
    </w:p>
    <w:p w14:paraId="34A0F35B" w14:textId="77777777" w:rsidR="00216BD5" w:rsidRPr="00477BD4" w:rsidRDefault="00216BD5" w:rsidP="00216BD5">
      <w:pPr>
        <w:spacing w:after="120"/>
        <w:rPr>
          <w:rFonts w:eastAsiaTheme="minorHAnsi" w:cstheme="minorBidi"/>
          <w:lang w:eastAsia="en-US"/>
        </w:rPr>
      </w:pPr>
      <w:r w:rsidRPr="00477BD4">
        <w:rPr>
          <w:rFonts w:eastAsiaTheme="minorHAnsi" w:cstheme="minorBidi"/>
          <w:lang w:eastAsia="en-US"/>
        </w:rPr>
        <w:t xml:space="preserve">Tabuľka č. </w:t>
      </w:r>
      <w:r>
        <w:rPr>
          <w:rFonts w:eastAsiaTheme="minorHAnsi" w:cstheme="minorBidi"/>
          <w:lang w:eastAsia="en-US"/>
        </w:rPr>
        <w:t>1</w:t>
      </w:r>
      <w:r w:rsidRPr="00477BD4">
        <w:rPr>
          <w:rFonts w:eastAsiaTheme="minorHAnsi" w:cstheme="minorBidi"/>
          <w:lang w:eastAsia="en-US"/>
        </w:rPr>
        <w:t>: Počet prijatých hlásení o NOO za rok 2014 od bánk</w:t>
      </w:r>
    </w:p>
    <w:tbl>
      <w:tblPr>
        <w:tblStyle w:val="Mriekatabuky3"/>
        <w:tblW w:w="0" w:type="auto"/>
        <w:tblLook w:val="04A0" w:firstRow="1" w:lastRow="0" w:firstColumn="1" w:lastColumn="0" w:noHBand="0" w:noVBand="1"/>
      </w:tblPr>
      <w:tblGrid>
        <w:gridCol w:w="4531"/>
        <w:gridCol w:w="4531"/>
      </w:tblGrid>
      <w:tr w:rsidR="00216BD5" w:rsidRPr="00477BD4" w14:paraId="51E2C3EB" w14:textId="77777777" w:rsidTr="006703BB">
        <w:tc>
          <w:tcPr>
            <w:tcW w:w="9062" w:type="dxa"/>
            <w:gridSpan w:val="2"/>
            <w:shd w:val="clear" w:color="auto" w:fill="FFE599" w:themeFill="accent4" w:themeFillTint="66"/>
            <w:vAlign w:val="center"/>
          </w:tcPr>
          <w:p w14:paraId="1DA4AF38" w14:textId="77777777" w:rsidR="00216BD5" w:rsidRPr="00722AC6" w:rsidRDefault="00216BD5" w:rsidP="006703BB">
            <w:pPr>
              <w:spacing w:after="120"/>
              <w:jc w:val="center"/>
              <w:rPr>
                <w:rFonts w:eastAsiaTheme="minorHAnsi" w:cstheme="minorBidi"/>
                <w:b/>
                <w:sz w:val="24"/>
                <w:szCs w:val="24"/>
                <w:lang w:eastAsia="en-US"/>
              </w:rPr>
            </w:pPr>
            <w:r w:rsidRPr="00722AC6">
              <w:rPr>
                <w:rFonts w:eastAsiaTheme="minorHAnsi" w:cstheme="minorBidi"/>
                <w:b/>
                <w:sz w:val="24"/>
                <w:szCs w:val="24"/>
                <w:lang w:eastAsia="en-US"/>
              </w:rPr>
              <w:t xml:space="preserve">Banky pôsobiace na území SR </w:t>
            </w:r>
          </w:p>
        </w:tc>
      </w:tr>
      <w:tr w:rsidR="00216BD5" w:rsidRPr="00477BD4" w14:paraId="790195A0" w14:textId="77777777" w:rsidTr="006703BB">
        <w:tc>
          <w:tcPr>
            <w:tcW w:w="4531" w:type="dxa"/>
            <w:shd w:val="clear" w:color="auto" w:fill="FFE599" w:themeFill="accent4" w:themeFillTint="66"/>
            <w:vAlign w:val="center"/>
          </w:tcPr>
          <w:p w14:paraId="038300A4"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Povinná osoba</w:t>
            </w:r>
          </w:p>
        </w:tc>
        <w:tc>
          <w:tcPr>
            <w:tcW w:w="4531" w:type="dxa"/>
            <w:shd w:val="clear" w:color="auto" w:fill="FFE599" w:themeFill="accent4" w:themeFillTint="66"/>
            <w:vAlign w:val="center"/>
          </w:tcPr>
          <w:p w14:paraId="53BC4721"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Počet hlásení o NOO</w:t>
            </w:r>
          </w:p>
        </w:tc>
      </w:tr>
      <w:tr w:rsidR="00216BD5" w:rsidRPr="00477BD4" w14:paraId="7D01CA7E" w14:textId="77777777" w:rsidTr="006703BB">
        <w:tc>
          <w:tcPr>
            <w:tcW w:w="4531" w:type="dxa"/>
            <w:shd w:val="clear" w:color="auto" w:fill="FFF2CC" w:themeFill="accent4" w:themeFillTint="33"/>
            <w:vAlign w:val="center"/>
          </w:tcPr>
          <w:p w14:paraId="4CD616C2"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Národná banka Slovenska</w:t>
            </w:r>
          </w:p>
        </w:tc>
        <w:tc>
          <w:tcPr>
            <w:tcW w:w="4531" w:type="dxa"/>
            <w:shd w:val="clear" w:color="auto" w:fill="FFF2CC" w:themeFill="accent4" w:themeFillTint="33"/>
            <w:vAlign w:val="center"/>
          </w:tcPr>
          <w:p w14:paraId="4C33DF13"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126</w:t>
            </w:r>
          </w:p>
        </w:tc>
      </w:tr>
      <w:tr w:rsidR="00216BD5" w:rsidRPr="00477BD4" w14:paraId="6261E059" w14:textId="77777777" w:rsidTr="006703BB">
        <w:tc>
          <w:tcPr>
            <w:tcW w:w="4531" w:type="dxa"/>
            <w:shd w:val="clear" w:color="auto" w:fill="FFF2CC" w:themeFill="accent4" w:themeFillTint="33"/>
            <w:vAlign w:val="center"/>
          </w:tcPr>
          <w:p w14:paraId="48C247DF"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Komerčné banky pôsobiace na území SR</w:t>
            </w:r>
          </w:p>
        </w:tc>
        <w:tc>
          <w:tcPr>
            <w:tcW w:w="4531" w:type="dxa"/>
            <w:shd w:val="clear" w:color="auto" w:fill="FFF2CC" w:themeFill="accent4" w:themeFillTint="33"/>
            <w:vAlign w:val="center"/>
          </w:tcPr>
          <w:p w14:paraId="604C18D7"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3252</w:t>
            </w:r>
          </w:p>
        </w:tc>
      </w:tr>
      <w:tr w:rsidR="00216BD5" w:rsidRPr="00477BD4" w14:paraId="4C72E9F4" w14:textId="77777777" w:rsidTr="006703BB">
        <w:tc>
          <w:tcPr>
            <w:tcW w:w="4531" w:type="dxa"/>
            <w:shd w:val="clear" w:color="auto" w:fill="FFE599" w:themeFill="accent4" w:themeFillTint="66"/>
            <w:vAlign w:val="center"/>
          </w:tcPr>
          <w:p w14:paraId="5FE893EA" w14:textId="77777777" w:rsidR="00216BD5" w:rsidRPr="00477BD4" w:rsidRDefault="00216BD5" w:rsidP="006703BB">
            <w:pPr>
              <w:spacing w:after="120"/>
              <w:jc w:val="left"/>
              <w:rPr>
                <w:rFonts w:eastAsiaTheme="minorHAnsi" w:cstheme="minorBidi"/>
                <w:b/>
                <w:sz w:val="24"/>
                <w:szCs w:val="24"/>
                <w:lang w:eastAsia="en-US"/>
              </w:rPr>
            </w:pPr>
            <w:r w:rsidRPr="00477BD4">
              <w:rPr>
                <w:rFonts w:eastAsiaTheme="minorHAnsi" w:cstheme="minorBidi"/>
                <w:b/>
                <w:sz w:val="24"/>
                <w:szCs w:val="24"/>
                <w:lang w:eastAsia="en-US"/>
              </w:rPr>
              <w:t xml:space="preserve">Spolu </w:t>
            </w:r>
          </w:p>
        </w:tc>
        <w:tc>
          <w:tcPr>
            <w:tcW w:w="4531" w:type="dxa"/>
            <w:shd w:val="clear" w:color="auto" w:fill="FFE599" w:themeFill="accent4" w:themeFillTint="66"/>
            <w:vAlign w:val="center"/>
          </w:tcPr>
          <w:p w14:paraId="787F7330"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3378</w:t>
            </w:r>
          </w:p>
        </w:tc>
      </w:tr>
    </w:tbl>
    <w:p w14:paraId="6F8616AC" w14:textId="77777777" w:rsidR="00216BD5" w:rsidRDefault="00216BD5" w:rsidP="00216BD5">
      <w:pPr>
        <w:spacing w:after="120"/>
        <w:rPr>
          <w:rFonts w:eastAsiaTheme="minorHAnsi" w:cstheme="minorBidi"/>
          <w:lang w:eastAsia="en-US"/>
        </w:rPr>
      </w:pPr>
    </w:p>
    <w:p w14:paraId="0620A6F2" w14:textId="77777777" w:rsidR="00216BD5" w:rsidRPr="00477BD4" w:rsidRDefault="00216BD5" w:rsidP="00216BD5">
      <w:pPr>
        <w:spacing w:after="120"/>
        <w:rPr>
          <w:rFonts w:eastAsiaTheme="minorHAnsi" w:cstheme="minorBidi"/>
          <w:lang w:eastAsia="en-US"/>
        </w:rPr>
      </w:pPr>
    </w:p>
    <w:p w14:paraId="2DB138F4" w14:textId="77777777" w:rsidR="00216BD5" w:rsidRPr="00477BD4" w:rsidRDefault="00216BD5" w:rsidP="00216BD5">
      <w:pPr>
        <w:spacing w:after="120"/>
        <w:rPr>
          <w:rFonts w:eastAsiaTheme="minorHAnsi" w:cstheme="minorBidi"/>
          <w:lang w:eastAsia="en-US"/>
        </w:rPr>
      </w:pPr>
      <w:r w:rsidRPr="00477BD4">
        <w:rPr>
          <w:rFonts w:eastAsiaTheme="minorHAnsi" w:cstheme="minorBidi"/>
          <w:lang w:eastAsia="en-US"/>
        </w:rPr>
        <w:t xml:space="preserve">Tabuľka č. </w:t>
      </w:r>
      <w:r>
        <w:rPr>
          <w:rFonts w:eastAsiaTheme="minorHAnsi" w:cstheme="minorBidi"/>
          <w:lang w:eastAsia="en-US"/>
        </w:rPr>
        <w:t>2</w:t>
      </w:r>
      <w:r w:rsidRPr="00477BD4">
        <w:rPr>
          <w:rFonts w:eastAsiaTheme="minorHAnsi" w:cstheme="minorBidi"/>
          <w:lang w:eastAsia="en-US"/>
        </w:rPr>
        <w:t>: Počet prijatých hlásení o NOO za rok 2014 od ostatných finančných inštitúcií</w:t>
      </w:r>
    </w:p>
    <w:tbl>
      <w:tblPr>
        <w:tblStyle w:val="Mriekatabuky3"/>
        <w:tblW w:w="0" w:type="auto"/>
        <w:tblLook w:val="04A0" w:firstRow="1" w:lastRow="0" w:firstColumn="1" w:lastColumn="0" w:noHBand="0" w:noVBand="1"/>
      </w:tblPr>
      <w:tblGrid>
        <w:gridCol w:w="4531"/>
        <w:gridCol w:w="4531"/>
      </w:tblGrid>
      <w:tr w:rsidR="00216BD5" w:rsidRPr="00477BD4" w14:paraId="4E32328A" w14:textId="77777777" w:rsidTr="006703BB">
        <w:tc>
          <w:tcPr>
            <w:tcW w:w="9062" w:type="dxa"/>
            <w:gridSpan w:val="2"/>
            <w:shd w:val="clear" w:color="auto" w:fill="FFE599" w:themeFill="accent4" w:themeFillTint="66"/>
            <w:vAlign w:val="center"/>
          </w:tcPr>
          <w:p w14:paraId="02E2B479" w14:textId="77777777" w:rsidR="00216BD5" w:rsidRPr="00722AC6" w:rsidRDefault="00216BD5" w:rsidP="006703BB">
            <w:pPr>
              <w:spacing w:after="120"/>
              <w:jc w:val="center"/>
              <w:rPr>
                <w:rFonts w:eastAsiaTheme="minorHAnsi" w:cstheme="minorBidi"/>
                <w:b/>
                <w:sz w:val="24"/>
                <w:szCs w:val="24"/>
                <w:lang w:eastAsia="en-US"/>
              </w:rPr>
            </w:pPr>
            <w:r w:rsidRPr="00722AC6">
              <w:rPr>
                <w:rFonts w:eastAsiaTheme="minorHAnsi" w:cstheme="minorBidi"/>
                <w:b/>
                <w:sz w:val="24"/>
                <w:szCs w:val="24"/>
                <w:lang w:eastAsia="en-US"/>
              </w:rPr>
              <w:t xml:space="preserve">Ostatné finančné inštitúcie </w:t>
            </w:r>
          </w:p>
        </w:tc>
      </w:tr>
      <w:tr w:rsidR="00216BD5" w:rsidRPr="00477BD4" w14:paraId="7889B868" w14:textId="77777777" w:rsidTr="006703BB">
        <w:tc>
          <w:tcPr>
            <w:tcW w:w="4531" w:type="dxa"/>
            <w:shd w:val="clear" w:color="auto" w:fill="FFE599" w:themeFill="accent4" w:themeFillTint="66"/>
            <w:vAlign w:val="center"/>
          </w:tcPr>
          <w:p w14:paraId="76C9B4E5"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Povinná osoba</w:t>
            </w:r>
          </w:p>
        </w:tc>
        <w:tc>
          <w:tcPr>
            <w:tcW w:w="4531" w:type="dxa"/>
            <w:shd w:val="clear" w:color="auto" w:fill="FFE599" w:themeFill="accent4" w:themeFillTint="66"/>
            <w:vAlign w:val="center"/>
          </w:tcPr>
          <w:p w14:paraId="332DA117"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Počet hlásení o NOO</w:t>
            </w:r>
          </w:p>
        </w:tc>
      </w:tr>
      <w:tr w:rsidR="00216BD5" w:rsidRPr="00477BD4" w14:paraId="1F7D0C29" w14:textId="77777777" w:rsidTr="006703BB">
        <w:tc>
          <w:tcPr>
            <w:tcW w:w="4531" w:type="dxa"/>
            <w:shd w:val="clear" w:color="auto" w:fill="FFF2CC" w:themeFill="accent4" w:themeFillTint="33"/>
            <w:vAlign w:val="center"/>
          </w:tcPr>
          <w:p w14:paraId="567471CE"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Obchodník s cennými papiermi</w:t>
            </w:r>
          </w:p>
        </w:tc>
        <w:tc>
          <w:tcPr>
            <w:tcW w:w="4531" w:type="dxa"/>
            <w:shd w:val="clear" w:color="auto" w:fill="FFF2CC" w:themeFill="accent4" w:themeFillTint="33"/>
            <w:vAlign w:val="center"/>
          </w:tcPr>
          <w:p w14:paraId="4C3EC79F"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19</w:t>
            </w:r>
          </w:p>
        </w:tc>
      </w:tr>
      <w:tr w:rsidR="00216BD5" w:rsidRPr="00477BD4" w14:paraId="11922B88" w14:textId="77777777" w:rsidTr="006703BB">
        <w:tc>
          <w:tcPr>
            <w:tcW w:w="4531" w:type="dxa"/>
            <w:shd w:val="clear" w:color="auto" w:fill="FFF2CC" w:themeFill="accent4" w:themeFillTint="33"/>
            <w:vAlign w:val="center"/>
          </w:tcPr>
          <w:p w14:paraId="1B483BDE"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Centrálny depozitár cenných papierov</w:t>
            </w:r>
          </w:p>
        </w:tc>
        <w:tc>
          <w:tcPr>
            <w:tcW w:w="4531" w:type="dxa"/>
            <w:shd w:val="clear" w:color="auto" w:fill="FFF2CC" w:themeFill="accent4" w:themeFillTint="33"/>
            <w:vAlign w:val="center"/>
          </w:tcPr>
          <w:p w14:paraId="3D2D6540"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w:t>
            </w:r>
          </w:p>
        </w:tc>
      </w:tr>
      <w:tr w:rsidR="00216BD5" w:rsidRPr="00477BD4" w14:paraId="252E579A" w14:textId="77777777" w:rsidTr="006703BB">
        <w:tc>
          <w:tcPr>
            <w:tcW w:w="4531" w:type="dxa"/>
            <w:shd w:val="clear" w:color="auto" w:fill="FFF2CC" w:themeFill="accent4" w:themeFillTint="33"/>
            <w:vAlign w:val="center"/>
          </w:tcPr>
          <w:p w14:paraId="2F9CCDBC"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Investičná a správcovská spoločnosť</w:t>
            </w:r>
          </w:p>
        </w:tc>
        <w:tc>
          <w:tcPr>
            <w:tcW w:w="4531" w:type="dxa"/>
            <w:shd w:val="clear" w:color="auto" w:fill="FFF2CC" w:themeFill="accent4" w:themeFillTint="33"/>
            <w:vAlign w:val="center"/>
          </w:tcPr>
          <w:p w14:paraId="2D8D6A28"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64</w:t>
            </w:r>
          </w:p>
        </w:tc>
      </w:tr>
      <w:tr w:rsidR="00216BD5" w:rsidRPr="00477BD4" w14:paraId="3CF49FF4" w14:textId="77777777" w:rsidTr="006703BB">
        <w:tc>
          <w:tcPr>
            <w:tcW w:w="4531" w:type="dxa"/>
            <w:shd w:val="clear" w:color="auto" w:fill="FFF2CC" w:themeFill="accent4" w:themeFillTint="33"/>
            <w:vAlign w:val="center"/>
          </w:tcPr>
          <w:p w14:paraId="7DE364F7"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Poisťovňa</w:t>
            </w:r>
          </w:p>
        </w:tc>
        <w:tc>
          <w:tcPr>
            <w:tcW w:w="4531" w:type="dxa"/>
            <w:shd w:val="clear" w:color="auto" w:fill="FFF2CC" w:themeFill="accent4" w:themeFillTint="33"/>
            <w:vAlign w:val="center"/>
          </w:tcPr>
          <w:p w14:paraId="17A55683"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174</w:t>
            </w:r>
          </w:p>
        </w:tc>
      </w:tr>
      <w:tr w:rsidR="00216BD5" w:rsidRPr="00477BD4" w14:paraId="542245CF" w14:textId="77777777" w:rsidTr="006703BB">
        <w:tc>
          <w:tcPr>
            <w:tcW w:w="4531" w:type="dxa"/>
            <w:shd w:val="clear" w:color="auto" w:fill="FFF2CC" w:themeFill="accent4" w:themeFillTint="33"/>
            <w:vAlign w:val="center"/>
          </w:tcPr>
          <w:p w14:paraId="0FA92E9B"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Zmenáreň</w:t>
            </w:r>
          </w:p>
        </w:tc>
        <w:tc>
          <w:tcPr>
            <w:tcW w:w="4531" w:type="dxa"/>
            <w:shd w:val="clear" w:color="auto" w:fill="FFF2CC" w:themeFill="accent4" w:themeFillTint="33"/>
            <w:vAlign w:val="center"/>
          </w:tcPr>
          <w:p w14:paraId="686DB76A"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8</w:t>
            </w:r>
          </w:p>
        </w:tc>
      </w:tr>
      <w:tr w:rsidR="00216BD5" w:rsidRPr="00477BD4" w14:paraId="7CF94F78" w14:textId="77777777" w:rsidTr="006703BB">
        <w:tc>
          <w:tcPr>
            <w:tcW w:w="4531" w:type="dxa"/>
            <w:shd w:val="clear" w:color="auto" w:fill="FFF2CC" w:themeFill="accent4" w:themeFillTint="33"/>
            <w:vAlign w:val="center"/>
          </w:tcPr>
          <w:p w14:paraId="41DCEA0B"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 xml:space="preserve">Finančné transferové služby </w:t>
            </w:r>
          </w:p>
        </w:tc>
        <w:tc>
          <w:tcPr>
            <w:tcW w:w="4531" w:type="dxa"/>
            <w:shd w:val="clear" w:color="auto" w:fill="FFF2CC" w:themeFill="accent4" w:themeFillTint="33"/>
            <w:vAlign w:val="center"/>
          </w:tcPr>
          <w:p w14:paraId="530B8BA6"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129</w:t>
            </w:r>
          </w:p>
        </w:tc>
      </w:tr>
      <w:tr w:rsidR="00216BD5" w:rsidRPr="00477BD4" w14:paraId="28049DC0" w14:textId="77777777" w:rsidTr="006703BB">
        <w:tc>
          <w:tcPr>
            <w:tcW w:w="4531" w:type="dxa"/>
            <w:shd w:val="clear" w:color="auto" w:fill="FFE599" w:themeFill="accent4" w:themeFillTint="66"/>
            <w:vAlign w:val="center"/>
          </w:tcPr>
          <w:p w14:paraId="036AAB94" w14:textId="77777777" w:rsidR="00216BD5" w:rsidRPr="00477BD4" w:rsidRDefault="00216BD5" w:rsidP="006703BB">
            <w:pPr>
              <w:spacing w:after="120"/>
              <w:jc w:val="left"/>
              <w:rPr>
                <w:rFonts w:eastAsiaTheme="minorHAnsi" w:cstheme="minorBidi"/>
                <w:b/>
                <w:sz w:val="24"/>
                <w:szCs w:val="24"/>
                <w:lang w:eastAsia="en-US"/>
              </w:rPr>
            </w:pPr>
            <w:r w:rsidRPr="00477BD4">
              <w:rPr>
                <w:rFonts w:eastAsiaTheme="minorHAnsi" w:cstheme="minorBidi"/>
                <w:b/>
                <w:sz w:val="24"/>
                <w:szCs w:val="24"/>
                <w:lang w:eastAsia="en-US"/>
              </w:rPr>
              <w:t xml:space="preserve">Spolu </w:t>
            </w:r>
          </w:p>
        </w:tc>
        <w:tc>
          <w:tcPr>
            <w:tcW w:w="4531" w:type="dxa"/>
            <w:shd w:val="clear" w:color="auto" w:fill="FFE599" w:themeFill="accent4" w:themeFillTint="66"/>
            <w:vAlign w:val="center"/>
          </w:tcPr>
          <w:p w14:paraId="2E44FF58"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395</w:t>
            </w:r>
          </w:p>
        </w:tc>
      </w:tr>
    </w:tbl>
    <w:p w14:paraId="54248CDD" w14:textId="77777777" w:rsidR="00216BD5" w:rsidRDefault="00216BD5" w:rsidP="00216BD5">
      <w:pPr>
        <w:spacing w:after="120"/>
        <w:rPr>
          <w:rFonts w:eastAsiaTheme="minorHAnsi" w:cstheme="minorBidi"/>
          <w:lang w:eastAsia="en-US"/>
        </w:rPr>
      </w:pPr>
    </w:p>
    <w:p w14:paraId="193CEA61" w14:textId="77777777" w:rsidR="00216BD5" w:rsidRDefault="00216BD5" w:rsidP="00216BD5">
      <w:pPr>
        <w:spacing w:after="120"/>
        <w:rPr>
          <w:rFonts w:eastAsiaTheme="minorHAnsi" w:cstheme="minorBidi"/>
          <w:lang w:eastAsia="en-US"/>
        </w:rPr>
      </w:pPr>
    </w:p>
    <w:p w14:paraId="50F85AE3" w14:textId="77777777" w:rsidR="00216BD5" w:rsidRDefault="00216BD5" w:rsidP="00216BD5">
      <w:pPr>
        <w:spacing w:after="120"/>
        <w:rPr>
          <w:rFonts w:eastAsiaTheme="minorHAnsi" w:cstheme="minorBidi"/>
          <w:lang w:eastAsia="en-US"/>
        </w:rPr>
      </w:pPr>
    </w:p>
    <w:p w14:paraId="62C39386" w14:textId="77777777" w:rsidR="00216BD5" w:rsidRPr="00477BD4" w:rsidRDefault="00216BD5" w:rsidP="00216BD5">
      <w:pPr>
        <w:spacing w:after="120"/>
        <w:rPr>
          <w:rFonts w:eastAsiaTheme="minorHAnsi" w:cstheme="minorBidi"/>
          <w:lang w:eastAsia="en-US"/>
        </w:rPr>
      </w:pPr>
    </w:p>
    <w:p w14:paraId="03FF6C73" w14:textId="77777777" w:rsidR="00216BD5" w:rsidRPr="00477BD4" w:rsidRDefault="00216BD5" w:rsidP="00216BD5">
      <w:pPr>
        <w:spacing w:after="120"/>
        <w:rPr>
          <w:rFonts w:eastAsiaTheme="minorHAnsi" w:cstheme="minorBidi"/>
          <w:lang w:eastAsia="en-US"/>
        </w:rPr>
      </w:pPr>
      <w:r w:rsidRPr="00477BD4">
        <w:rPr>
          <w:rFonts w:eastAsiaTheme="minorHAnsi" w:cstheme="minorBidi"/>
          <w:lang w:eastAsia="en-US"/>
        </w:rPr>
        <w:lastRenderedPageBreak/>
        <w:t>Tabuľka č.</w:t>
      </w:r>
      <w:r>
        <w:rPr>
          <w:rFonts w:eastAsiaTheme="minorHAnsi" w:cstheme="minorBidi"/>
          <w:lang w:eastAsia="en-US"/>
        </w:rPr>
        <w:t xml:space="preserve"> 3</w:t>
      </w:r>
      <w:r w:rsidRPr="00477BD4">
        <w:rPr>
          <w:rFonts w:eastAsiaTheme="minorHAnsi" w:cstheme="minorBidi"/>
          <w:lang w:eastAsia="en-US"/>
        </w:rPr>
        <w:t xml:space="preserve">: Počet prijatých hlásení o NOO za rok 2014 od nefinančných </w:t>
      </w:r>
      <w:r>
        <w:rPr>
          <w:rFonts w:eastAsiaTheme="minorHAnsi" w:cstheme="minorBidi"/>
          <w:lang w:eastAsia="en-US"/>
        </w:rPr>
        <w:t>inštitúcií</w:t>
      </w:r>
    </w:p>
    <w:tbl>
      <w:tblPr>
        <w:tblStyle w:val="Mriekatabuky3"/>
        <w:tblW w:w="0" w:type="auto"/>
        <w:tblLook w:val="04A0" w:firstRow="1" w:lastRow="0" w:firstColumn="1" w:lastColumn="0" w:noHBand="0" w:noVBand="1"/>
      </w:tblPr>
      <w:tblGrid>
        <w:gridCol w:w="4531"/>
        <w:gridCol w:w="4531"/>
      </w:tblGrid>
      <w:tr w:rsidR="00216BD5" w:rsidRPr="00477BD4" w14:paraId="32D775D8" w14:textId="77777777" w:rsidTr="006703BB">
        <w:tc>
          <w:tcPr>
            <w:tcW w:w="9062" w:type="dxa"/>
            <w:gridSpan w:val="2"/>
            <w:shd w:val="clear" w:color="auto" w:fill="FFE599" w:themeFill="accent4" w:themeFillTint="66"/>
          </w:tcPr>
          <w:p w14:paraId="78F03969" w14:textId="77777777" w:rsidR="00216BD5" w:rsidRPr="00722AC6" w:rsidRDefault="00216BD5" w:rsidP="006703BB">
            <w:pPr>
              <w:spacing w:after="120"/>
              <w:jc w:val="center"/>
              <w:rPr>
                <w:rFonts w:eastAsiaTheme="minorHAnsi" w:cstheme="minorBidi"/>
                <w:b/>
                <w:sz w:val="24"/>
                <w:szCs w:val="24"/>
                <w:lang w:eastAsia="en-US"/>
              </w:rPr>
            </w:pPr>
            <w:r>
              <w:rPr>
                <w:rFonts w:eastAsiaTheme="minorHAnsi" w:cstheme="minorBidi"/>
                <w:b/>
                <w:sz w:val="24"/>
                <w:szCs w:val="24"/>
                <w:lang w:eastAsia="en-US"/>
              </w:rPr>
              <w:t>Nefinančné inštitúcie</w:t>
            </w:r>
            <w:r w:rsidRPr="00722AC6">
              <w:rPr>
                <w:rFonts w:eastAsiaTheme="minorHAnsi" w:cstheme="minorBidi"/>
                <w:b/>
                <w:sz w:val="24"/>
                <w:szCs w:val="24"/>
                <w:lang w:eastAsia="en-US"/>
              </w:rPr>
              <w:t xml:space="preserve"> </w:t>
            </w:r>
          </w:p>
        </w:tc>
      </w:tr>
      <w:tr w:rsidR="00216BD5" w:rsidRPr="00477BD4" w14:paraId="71743064" w14:textId="77777777" w:rsidTr="006703BB">
        <w:tc>
          <w:tcPr>
            <w:tcW w:w="4531" w:type="dxa"/>
            <w:shd w:val="clear" w:color="auto" w:fill="FFE599" w:themeFill="accent4" w:themeFillTint="66"/>
          </w:tcPr>
          <w:p w14:paraId="0ED0AD53"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Povinná osoba</w:t>
            </w:r>
          </w:p>
        </w:tc>
        <w:tc>
          <w:tcPr>
            <w:tcW w:w="4531" w:type="dxa"/>
            <w:shd w:val="clear" w:color="auto" w:fill="FFE599" w:themeFill="accent4" w:themeFillTint="66"/>
          </w:tcPr>
          <w:p w14:paraId="7695F20F"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Počet hlásení o NOO</w:t>
            </w:r>
          </w:p>
        </w:tc>
      </w:tr>
      <w:tr w:rsidR="00216BD5" w:rsidRPr="00477BD4" w14:paraId="0DBEFFE0" w14:textId="77777777" w:rsidTr="006703BB">
        <w:tc>
          <w:tcPr>
            <w:tcW w:w="4531" w:type="dxa"/>
            <w:shd w:val="clear" w:color="auto" w:fill="FFF2CC" w:themeFill="accent4" w:themeFillTint="33"/>
          </w:tcPr>
          <w:p w14:paraId="117171C7"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 xml:space="preserve">Prevádzkovateľ hazardných hier </w:t>
            </w:r>
          </w:p>
        </w:tc>
        <w:tc>
          <w:tcPr>
            <w:tcW w:w="4531" w:type="dxa"/>
            <w:shd w:val="clear" w:color="auto" w:fill="FFF2CC" w:themeFill="accent4" w:themeFillTint="33"/>
          </w:tcPr>
          <w:p w14:paraId="4826A61A"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6</w:t>
            </w:r>
          </w:p>
        </w:tc>
      </w:tr>
      <w:tr w:rsidR="00216BD5" w:rsidRPr="00477BD4" w14:paraId="6E1871BA" w14:textId="77777777" w:rsidTr="006703BB">
        <w:tc>
          <w:tcPr>
            <w:tcW w:w="4531" w:type="dxa"/>
            <w:shd w:val="clear" w:color="auto" w:fill="FFF2CC" w:themeFill="accent4" w:themeFillTint="33"/>
          </w:tcPr>
          <w:p w14:paraId="736AF256"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Poštový podnik</w:t>
            </w:r>
          </w:p>
        </w:tc>
        <w:tc>
          <w:tcPr>
            <w:tcW w:w="4531" w:type="dxa"/>
            <w:shd w:val="clear" w:color="auto" w:fill="FFF2CC" w:themeFill="accent4" w:themeFillTint="33"/>
          </w:tcPr>
          <w:p w14:paraId="68DFD5C2"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108</w:t>
            </w:r>
          </w:p>
        </w:tc>
      </w:tr>
      <w:tr w:rsidR="00216BD5" w:rsidRPr="00477BD4" w14:paraId="41B148BA" w14:textId="77777777" w:rsidTr="006703BB">
        <w:tc>
          <w:tcPr>
            <w:tcW w:w="4531" w:type="dxa"/>
            <w:shd w:val="clear" w:color="auto" w:fill="FFF2CC" w:themeFill="accent4" w:themeFillTint="33"/>
          </w:tcPr>
          <w:p w14:paraId="3ACFEF3F"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Sprostredkovateľ predaj</w:t>
            </w:r>
            <w:r>
              <w:rPr>
                <w:rFonts w:eastAsiaTheme="minorHAnsi" w:cstheme="minorBidi"/>
                <w:sz w:val="24"/>
                <w:szCs w:val="24"/>
                <w:lang w:eastAsia="en-US"/>
              </w:rPr>
              <w:t>a</w:t>
            </w:r>
            <w:r w:rsidRPr="00477BD4">
              <w:rPr>
                <w:rFonts w:eastAsiaTheme="minorHAnsi" w:cstheme="minorBidi"/>
                <w:sz w:val="24"/>
                <w:szCs w:val="24"/>
                <w:lang w:eastAsia="en-US"/>
              </w:rPr>
              <w:t>, prenájmu a kúpy nehnuteľností</w:t>
            </w:r>
          </w:p>
        </w:tc>
        <w:tc>
          <w:tcPr>
            <w:tcW w:w="4531" w:type="dxa"/>
            <w:shd w:val="clear" w:color="auto" w:fill="FFF2CC" w:themeFill="accent4" w:themeFillTint="33"/>
          </w:tcPr>
          <w:p w14:paraId="561A1555"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w:t>
            </w:r>
          </w:p>
        </w:tc>
      </w:tr>
      <w:tr w:rsidR="00216BD5" w:rsidRPr="00477BD4" w14:paraId="0B7E303A" w14:textId="77777777" w:rsidTr="006703BB">
        <w:tc>
          <w:tcPr>
            <w:tcW w:w="4531" w:type="dxa"/>
            <w:shd w:val="clear" w:color="auto" w:fill="FFF2CC" w:themeFill="accent4" w:themeFillTint="33"/>
          </w:tcPr>
          <w:p w14:paraId="493FE229"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Poskytovateľ finančného prenájmu</w:t>
            </w:r>
          </w:p>
        </w:tc>
        <w:tc>
          <w:tcPr>
            <w:tcW w:w="4531" w:type="dxa"/>
            <w:shd w:val="clear" w:color="auto" w:fill="FFF2CC" w:themeFill="accent4" w:themeFillTint="33"/>
          </w:tcPr>
          <w:p w14:paraId="32D40986"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25</w:t>
            </w:r>
          </w:p>
        </w:tc>
      </w:tr>
      <w:tr w:rsidR="00216BD5" w:rsidRPr="00477BD4" w14:paraId="49655C47" w14:textId="77777777" w:rsidTr="006703BB">
        <w:tc>
          <w:tcPr>
            <w:tcW w:w="4531" w:type="dxa"/>
            <w:shd w:val="clear" w:color="auto" w:fill="FFF2CC" w:themeFill="accent4" w:themeFillTint="33"/>
          </w:tcPr>
          <w:p w14:paraId="030CCCAF"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Advokát, notár</w:t>
            </w:r>
          </w:p>
        </w:tc>
        <w:tc>
          <w:tcPr>
            <w:tcW w:w="4531" w:type="dxa"/>
            <w:shd w:val="clear" w:color="auto" w:fill="FFF2CC" w:themeFill="accent4" w:themeFillTint="33"/>
          </w:tcPr>
          <w:p w14:paraId="1D14FE1D"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w:t>
            </w:r>
          </w:p>
        </w:tc>
      </w:tr>
      <w:tr w:rsidR="00216BD5" w:rsidRPr="00477BD4" w14:paraId="2BFB15DF" w14:textId="77777777" w:rsidTr="006703BB">
        <w:tc>
          <w:tcPr>
            <w:tcW w:w="4531" w:type="dxa"/>
            <w:shd w:val="clear" w:color="auto" w:fill="FFF2CC" w:themeFill="accent4" w:themeFillTint="33"/>
          </w:tcPr>
          <w:p w14:paraId="5091F40C"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 xml:space="preserve">Ostatné nefinančné subjekty </w:t>
            </w:r>
          </w:p>
        </w:tc>
        <w:tc>
          <w:tcPr>
            <w:tcW w:w="4531" w:type="dxa"/>
            <w:shd w:val="clear" w:color="auto" w:fill="FFF2CC" w:themeFill="accent4" w:themeFillTint="33"/>
          </w:tcPr>
          <w:p w14:paraId="0A4C4B8D"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14</w:t>
            </w:r>
          </w:p>
        </w:tc>
      </w:tr>
      <w:tr w:rsidR="00216BD5" w:rsidRPr="00477BD4" w14:paraId="59A68BFA" w14:textId="77777777" w:rsidTr="006703BB">
        <w:tc>
          <w:tcPr>
            <w:tcW w:w="4531" w:type="dxa"/>
            <w:shd w:val="clear" w:color="auto" w:fill="FFE599" w:themeFill="accent4" w:themeFillTint="66"/>
          </w:tcPr>
          <w:p w14:paraId="5A82E7F3" w14:textId="77777777" w:rsidR="00216BD5" w:rsidRPr="00477BD4" w:rsidRDefault="00216BD5" w:rsidP="006703BB">
            <w:pPr>
              <w:spacing w:after="120"/>
              <w:jc w:val="left"/>
              <w:rPr>
                <w:rFonts w:eastAsiaTheme="minorHAnsi" w:cstheme="minorBidi"/>
                <w:b/>
                <w:sz w:val="24"/>
                <w:szCs w:val="24"/>
                <w:lang w:eastAsia="en-US"/>
              </w:rPr>
            </w:pPr>
            <w:r w:rsidRPr="00477BD4">
              <w:rPr>
                <w:rFonts w:eastAsiaTheme="minorHAnsi" w:cstheme="minorBidi"/>
                <w:b/>
                <w:sz w:val="24"/>
                <w:szCs w:val="24"/>
                <w:lang w:eastAsia="en-US"/>
              </w:rPr>
              <w:t xml:space="preserve">Spolu </w:t>
            </w:r>
          </w:p>
        </w:tc>
        <w:tc>
          <w:tcPr>
            <w:tcW w:w="4531" w:type="dxa"/>
            <w:shd w:val="clear" w:color="auto" w:fill="FFE599" w:themeFill="accent4" w:themeFillTint="66"/>
          </w:tcPr>
          <w:p w14:paraId="6B092A3E"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155</w:t>
            </w:r>
          </w:p>
        </w:tc>
      </w:tr>
    </w:tbl>
    <w:p w14:paraId="6554CE9C" w14:textId="77777777" w:rsidR="00216BD5" w:rsidRPr="00477BD4" w:rsidRDefault="00216BD5" w:rsidP="00216BD5">
      <w:pPr>
        <w:spacing w:after="120"/>
        <w:rPr>
          <w:rFonts w:eastAsiaTheme="minorHAnsi" w:cstheme="minorBidi"/>
          <w:sz w:val="24"/>
          <w:szCs w:val="24"/>
          <w:lang w:eastAsia="en-US"/>
        </w:rPr>
      </w:pPr>
    </w:p>
    <w:p w14:paraId="018719E2" w14:textId="77777777" w:rsidR="00216BD5" w:rsidRPr="00477BD4" w:rsidRDefault="00216BD5" w:rsidP="00216BD5">
      <w:pPr>
        <w:spacing w:after="120"/>
        <w:rPr>
          <w:rFonts w:eastAsiaTheme="minorHAnsi" w:cstheme="minorBidi"/>
          <w:sz w:val="24"/>
          <w:szCs w:val="24"/>
          <w:lang w:eastAsia="en-US"/>
        </w:rPr>
      </w:pPr>
    </w:p>
    <w:p w14:paraId="36F89319" w14:textId="77777777" w:rsidR="00216BD5" w:rsidRPr="00477BD4" w:rsidRDefault="00216BD5" w:rsidP="00216BD5">
      <w:pPr>
        <w:pStyle w:val="Podnadpis"/>
      </w:pPr>
      <w:bookmarkStart w:id="5" w:name="_Toc412466386"/>
      <w:r w:rsidRPr="00477BD4">
        <w:t>2.2</w:t>
      </w:r>
      <w:r>
        <w:t xml:space="preserve"> </w:t>
      </w:r>
      <w:r w:rsidRPr="00477BD4">
        <w:t>Zdržanie NOO</w:t>
      </w:r>
      <w:bookmarkEnd w:id="5"/>
    </w:p>
    <w:p w14:paraId="792FEF0F" w14:textId="77777777" w:rsidR="00216BD5" w:rsidRPr="00477BD4" w:rsidRDefault="00216BD5" w:rsidP="00216BD5">
      <w:pPr>
        <w:spacing w:after="120"/>
        <w:rPr>
          <w:rFonts w:eastAsiaTheme="minorHAnsi" w:cstheme="minorBidi"/>
          <w:sz w:val="24"/>
          <w:szCs w:val="24"/>
          <w:lang w:eastAsia="en-US"/>
        </w:rPr>
      </w:pPr>
    </w:p>
    <w:p w14:paraId="3EF31AF8"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Inštitút </w:t>
      </w:r>
      <w:r>
        <w:rPr>
          <w:rFonts w:eastAsiaTheme="minorHAnsi" w:cstheme="minorBidi"/>
          <w:sz w:val="24"/>
          <w:szCs w:val="24"/>
          <w:lang w:eastAsia="en-US"/>
        </w:rPr>
        <w:t>z</w:t>
      </w:r>
      <w:r w:rsidRPr="00477BD4">
        <w:rPr>
          <w:rFonts w:eastAsiaTheme="minorHAnsi" w:cstheme="minorBidi"/>
          <w:sz w:val="24"/>
          <w:szCs w:val="24"/>
          <w:lang w:eastAsia="en-US"/>
        </w:rPr>
        <w:t>držania NOO má veľký význam vo vzťahu k včasnosti a účinnosti opatrení, ktoré môže FSJ vykonať neodkladne po jej ohlásení.</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V prípade absencie uvedeného postupu by FSJ </w:t>
      </w:r>
      <w:r>
        <w:rPr>
          <w:rFonts w:eastAsiaTheme="minorHAnsi" w:cstheme="minorBidi"/>
          <w:sz w:val="24"/>
          <w:szCs w:val="24"/>
          <w:lang w:eastAsia="en-US"/>
        </w:rPr>
        <w:t>ne</w:t>
      </w:r>
      <w:r w:rsidRPr="00477BD4">
        <w:rPr>
          <w:rFonts w:eastAsiaTheme="minorHAnsi" w:cstheme="minorBidi"/>
          <w:sz w:val="24"/>
          <w:szCs w:val="24"/>
          <w:lang w:eastAsia="en-US"/>
        </w:rPr>
        <w:t xml:space="preserve">mohla </w:t>
      </w:r>
      <w:r>
        <w:rPr>
          <w:rFonts w:eastAsiaTheme="minorHAnsi" w:cstheme="minorBidi"/>
          <w:sz w:val="24"/>
          <w:szCs w:val="24"/>
          <w:lang w:eastAsia="en-US"/>
        </w:rPr>
        <w:t>účinne zasiahnuť do priebehu</w:t>
      </w:r>
      <w:r w:rsidRPr="00477BD4">
        <w:rPr>
          <w:rFonts w:eastAsiaTheme="minorHAnsi" w:cstheme="minorBidi"/>
          <w:sz w:val="24"/>
          <w:szCs w:val="24"/>
          <w:lang w:eastAsia="en-US"/>
        </w:rPr>
        <w:t xml:space="preserve"> vykonávania</w:t>
      </w:r>
      <w:r>
        <w:rPr>
          <w:rFonts w:eastAsiaTheme="minorHAnsi" w:cstheme="minorBidi"/>
          <w:sz w:val="24"/>
          <w:szCs w:val="24"/>
          <w:lang w:eastAsia="en-US"/>
        </w:rPr>
        <w:t xml:space="preserve"> obchodnej operácie. E</w:t>
      </w:r>
      <w:r w:rsidRPr="00477BD4">
        <w:rPr>
          <w:rFonts w:eastAsiaTheme="minorHAnsi" w:cstheme="minorBidi"/>
          <w:sz w:val="24"/>
          <w:szCs w:val="24"/>
          <w:lang w:eastAsia="en-US"/>
        </w:rPr>
        <w:t xml:space="preserve">fektívnosť opatrení na preverenie </w:t>
      </w:r>
      <w:r>
        <w:rPr>
          <w:rFonts w:eastAsiaTheme="minorHAnsi" w:cstheme="minorBidi"/>
          <w:sz w:val="24"/>
          <w:szCs w:val="24"/>
          <w:lang w:eastAsia="en-US"/>
        </w:rPr>
        <w:t>obchodnej</w:t>
      </w:r>
      <w:r w:rsidRPr="00477BD4">
        <w:rPr>
          <w:rFonts w:eastAsiaTheme="minorHAnsi" w:cstheme="minorBidi"/>
          <w:sz w:val="24"/>
          <w:szCs w:val="24"/>
          <w:lang w:eastAsia="en-US"/>
        </w:rPr>
        <w:t xml:space="preserve"> operácie,</w:t>
      </w:r>
      <w:r>
        <w:rPr>
          <w:rFonts w:eastAsiaTheme="minorHAnsi" w:cstheme="minorBidi"/>
          <w:sz w:val="24"/>
          <w:szCs w:val="24"/>
          <w:lang w:eastAsia="en-US"/>
        </w:rPr>
        <w:t xml:space="preserve"> jej</w:t>
      </w:r>
      <w:r w:rsidRPr="00477BD4">
        <w:rPr>
          <w:rFonts w:eastAsiaTheme="minorHAnsi" w:cstheme="minorBidi"/>
          <w:sz w:val="24"/>
          <w:szCs w:val="24"/>
          <w:lang w:eastAsia="en-US"/>
        </w:rPr>
        <w:t xml:space="preserve"> zadokumentovanie a prípadné zaistenie príjmov z trestnej činnosti, alebo finančných prostriedkov určených na podporu terorizmu, by bola len veľmi malá a neúčinná. </w:t>
      </w:r>
    </w:p>
    <w:p w14:paraId="0F5E73FD"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r>
      <w:r>
        <w:rPr>
          <w:rFonts w:eastAsiaTheme="minorHAnsi" w:cstheme="minorBidi"/>
          <w:sz w:val="24"/>
          <w:szCs w:val="24"/>
          <w:lang w:eastAsia="en-US"/>
        </w:rPr>
        <w:t xml:space="preserve">Realizácia </w:t>
      </w:r>
      <w:r w:rsidRPr="00477BD4">
        <w:rPr>
          <w:rFonts w:eastAsiaTheme="minorHAnsi" w:cstheme="minorBidi"/>
          <w:sz w:val="24"/>
          <w:szCs w:val="24"/>
          <w:lang w:eastAsia="en-US"/>
        </w:rPr>
        <w:t>zdržania a následného zaistenia finančných prostriedkov v trestnom konaní je zabezpečovaná priebežným monitoringom a preverovaním obchodných operácií v reálnom čase</w:t>
      </w:r>
      <w:r>
        <w:rPr>
          <w:rFonts w:eastAsiaTheme="minorHAnsi" w:cstheme="minorBidi"/>
          <w:sz w:val="24"/>
          <w:szCs w:val="24"/>
          <w:lang w:eastAsia="en-US"/>
        </w:rPr>
        <w:t>.</w:t>
      </w:r>
    </w:p>
    <w:p w14:paraId="359466DC"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V roku 2014 bolo z</w:t>
      </w:r>
      <w:r>
        <w:rPr>
          <w:rFonts w:eastAsiaTheme="minorHAnsi" w:cstheme="minorBidi"/>
          <w:sz w:val="24"/>
          <w:szCs w:val="24"/>
          <w:lang w:eastAsia="en-US"/>
        </w:rPr>
        <w:t xml:space="preserve"> </w:t>
      </w:r>
      <w:r w:rsidRPr="00477BD4">
        <w:rPr>
          <w:rFonts w:eastAsiaTheme="minorHAnsi" w:cstheme="minorBidi"/>
          <w:sz w:val="24"/>
          <w:szCs w:val="24"/>
          <w:lang w:eastAsia="en-US"/>
        </w:rPr>
        <w:t>počtu prijatých hlásení zdržaných celkovo 141 NOO s celkovou hodnotou 7.017.330,15 EUR. Informácie z týchto hlásení boli v 103 prípadoch odstúpené</w:t>
      </w:r>
      <w:r>
        <w:rPr>
          <w:rFonts w:eastAsiaTheme="minorHAnsi" w:cstheme="minorBidi"/>
          <w:sz w:val="24"/>
          <w:szCs w:val="24"/>
          <w:lang w:eastAsia="en-US"/>
        </w:rPr>
        <w:t xml:space="preserve"> </w:t>
      </w:r>
      <w:r w:rsidRPr="00477BD4">
        <w:rPr>
          <w:rFonts w:eastAsiaTheme="minorHAnsi" w:cstheme="minorBidi"/>
          <w:sz w:val="24"/>
          <w:szCs w:val="24"/>
          <w:lang w:eastAsia="en-US"/>
        </w:rPr>
        <w:t>vecne a miestne príslušným OČTK na ďalšie konanie v zmysle ustanovení Trestného poriadku.</w:t>
      </w:r>
    </w:p>
    <w:p w14:paraId="193AD75F" w14:textId="77777777" w:rsidR="00216BD5" w:rsidRPr="00477BD4" w:rsidRDefault="00216BD5" w:rsidP="00216BD5">
      <w:pPr>
        <w:rPr>
          <w:rFonts w:eastAsiaTheme="minorHAnsi" w:cstheme="minorBidi"/>
          <w:lang w:eastAsia="en-US"/>
        </w:rPr>
      </w:pPr>
    </w:p>
    <w:p w14:paraId="01651C00" w14:textId="77777777" w:rsidR="00216BD5" w:rsidRPr="00477BD4" w:rsidRDefault="00216BD5" w:rsidP="00216BD5">
      <w:pPr>
        <w:spacing w:after="120"/>
        <w:rPr>
          <w:rFonts w:eastAsiaTheme="minorHAnsi" w:cstheme="minorBidi"/>
          <w:lang w:eastAsia="en-US"/>
        </w:rPr>
      </w:pPr>
      <w:r w:rsidRPr="00477BD4">
        <w:rPr>
          <w:rFonts w:eastAsiaTheme="minorHAnsi" w:cstheme="minorBidi"/>
          <w:lang w:eastAsia="en-US"/>
        </w:rPr>
        <w:t>Tabuľka č.</w:t>
      </w:r>
      <w:r>
        <w:rPr>
          <w:rFonts w:eastAsiaTheme="minorHAnsi" w:cstheme="minorBidi"/>
          <w:lang w:eastAsia="en-US"/>
        </w:rPr>
        <w:t xml:space="preserve"> 4</w:t>
      </w:r>
      <w:r w:rsidRPr="00477BD4">
        <w:rPr>
          <w:rFonts w:eastAsiaTheme="minorHAnsi" w:cstheme="minorBidi"/>
          <w:lang w:eastAsia="en-US"/>
        </w:rPr>
        <w:t>: Štatistický prehľad zadržaných NOO za rok 2014</w:t>
      </w:r>
    </w:p>
    <w:tbl>
      <w:tblPr>
        <w:tblStyle w:val="Mriekatabuky3"/>
        <w:tblW w:w="0" w:type="auto"/>
        <w:tblLook w:val="04A0" w:firstRow="1" w:lastRow="0" w:firstColumn="1" w:lastColumn="0" w:noHBand="0" w:noVBand="1"/>
      </w:tblPr>
      <w:tblGrid>
        <w:gridCol w:w="4531"/>
        <w:gridCol w:w="4531"/>
      </w:tblGrid>
      <w:tr w:rsidR="00216BD5" w:rsidRPr="00477BD4" w14:paraId="24EE4413" w14:textId="77777777" w:rsidTr="006703BB">
        <w:tc>
          <w:tcPr>
            <w:tcW w:w="4531" w:type="dxa"/>
            <w:shd w:val="clear" w:color="auto" w:fill="C5E0B3" w:themeFill="accent6" w:themeFillTint="66"/>
          </w:tcPr>
          <w:p w14:paraId="1EEFE03A" w14:textId="77777777" w:rsidR="00216BD5" w:rsidRPr="00477BD4" w:rsidRDefault="00216BD5" w:rsidP="006703BB">
            <w:pPr>
              <w:spacing w:line="276" w:lineRule="auto"/>
              <w:rPr>
                <w:rFonts w:eastAsiaTheme="minorHAnsi" w:cstheme="minorBidi"/>
                <w:sz w:val="24"/>
                <w:szCs w:val="24"/>
                <w:lang w:eastAsia="en-US"/>
              </w:rPr>
            </w:pPr>
            <w:r w:rsidRPr="00477BD4">
              <w:rPr>
                <w:rFonts w:eastAsiaTheme="minorHAnsi" w:cstheme="minorBidi"/>
                <w:sz w:val="24"/>
                <w:szCs w:val="24"/>
                <w:lang w:eastAsia="en-US"/>
              </w:rPr>
              <w:t>Celkový počet zdržaných NOO</w:t>
            </w:r>
          </w:p>
        </w:tc>
        <w:tc>
          <w:tcPr>
            <w:tcW w:w="4531" w:type="dxa"/>
            <w:shd w:val="clear" w:color="auto" w:fill="C5E0B3" w:themeFill="accent6" w:themeFillTint="66"/>
            <w:vAlign w:val="center"/>
          </w:tcPr>
          <w:p w14:paraId="7379DBB2" w14:textId="77777777" w:rsidR="00216BD5" w:rsidRPr="00477BD4" w:rsidRDefault="00216BD5" w:rsidP="006703BB">
            <w:pPr>
              <w:spacing w:line="276" w:lineRule="auto"/>
              <w:jc w:val="center"/>
              <w:rPr>
                <w:rFonts w:eastAsiaTheme="minorHAnsi" w:cstheme="minorBidi"/>
                <w:sz w:val="24"/>
                <w:szCs w:val="24"/>
                <w:lang w:eastAsia="en-US"/>
              </w:rPr>
            </w:pPr>
            <w:r w:rsidRPr="00477BD4">
              <w:rPr>
                <w:rFonts w:eastAsiaTheme="minorHAnsi" w:cstheme="minorBidi"/>
                <w:sz w:val="24"/>
                <w:szCs w:val="24"/>
                <w:lang w:eastAsia="en-US"/>
              </w:rPr>
              <w:t>141</w:t>
            </w:r>
          </w:p>
        </w:tc>
      </w:tr>
      <w:tr w:rsidR="00216BD5" w:rsidRPr="00477BD4" w14:paraId="5F94F031" w14:textId="77777777" w:rsidTr="006703BB">
        <w:tc>
          <w:tcPr>
            <w:tcW w:w="4531" w:type="dxa"/>
            <w:shd w:val="clear" w:color="auto" w:fill="C5E0B3" w:themeFill="accent6" w:themeFillTint="66"/>
          </w:tcPr>
          <w:p w14:paraId="63B6471F" w14:textId="77777777" w:rsidR="00216BD5" w:rsidRPr="00477BD4" w:rsidRDefault="00216BD5" w:rsidP="006703BB">
            <w:pPr>
              <w:spacing w:line="276" w:lineRule="auto"/>
              <w:rPr>
                <w:rFonts w:eastAsiaTheme="minorHAnsi" w:cstheme="minorBidi"/>
                <w:sz w:val="24"/>
                <w:szCs w:val="24"/>
                <w:lang w:eastAsia="en-US"/>
              </w:rPr>
            </w:pPr>
            <w:r w:rsidRPr="00477BD4">
              <w:rPr>
                <w:rFonts w:eastAsiaTheme="minorHAnsi" w:cstheme="minorBidi"/>
                <w:sz w:val="24"/>
                <w:szCs w:val="24"/>
                <w:lang w:eastAsia="en-US"/>
              </w:rPr>
              <w:t>Zdržanie NOO povinnou osobou</w:t>
            </w:r>
          </w:p>
        </w:tc>
        <w:tc>
          <w:tcPr>
            <w:tcW w:w="4531" w:type="dxa"/>
            <w:shd w:val="clear" w:color="auto" w:fill="C5E0B3" w:themeFill="accent6" w:themeFillTint="66"/>
            <w:vAlign w:val="center"/>
          </w:tcPr>
          <w:p w14:paraId="62D34F45" w14:textId="77777777" w:rsidR="00216BD5" w:rsidRPr="00477BD4" w:rsidRDefault="00216BD5" w:rsidP="006703BB">
            <w:pPr>
              <w:spacing w:line="276" w:lineRule="auto"/>
              <w:jc w:val="center"/>
              <w:rPr>
                <w:rFonts w:eastAsiaTheme="minorHAnsi" w:cstheme="minorBidi"/>
                <w:sz w:val="24"/>
                <w:szCs w:val="24"/>
                <w:lang w:eastAsia="en-US"/>
              </w:rPr>
            </w:pPr>
            <w:r w:rsidRPr="00477BD4">
              <w:rPr>
                <w:rFonts w:eastAsiaTheme="minorHAnsi" w:cstheme="minorBidi"/>
                <w:sz w:val="24"/>
                <w:szCs w:val="24"/>
                <w:lang w:eastAsia="en-US"/>
              </w:rPr>
              <w:t>139</w:t>
            </w:r>
          </w:p>
        </w:tc>
      </w:tr>
      <w:tr w:rsidR="00216BD5" w:rsidRPr="00477BD4" w14:paraId="5B3E5075" w14:textId="77777777" w:rsidTr="006703BB">
        <w:tc>
          <w:tcPr>
            <w:tcW w:w="4531" w:type="dxa"/>
            <w:shd w:val="clear" w:color="auto" w:fill="C5E0B3" w:themeFill="accent6" w:themeFillTint="66"/>
          </w:tcPr>
          <w:p w14:paraId="6FCF77BE" w14:textId="77777777" w:rsidR="00216BD5" w:rsidRPr="00477BD4" w:rsidRDefault="00216BD5" w:rsidP="006703BB">
            <w:pPr>
              <w:spacing w:line="276" w:lineRule="auto"/>
              <w:rPr>
                <w:rFonts w:eastAsiaTheme="minorHAnsi" w:cstheme="minorBidi"/>
                <w:sz w:val="24"/>
                <w:szCs w:val="24"/>
                <w:lang w:eastAsia="en-US"/>
              </w:rPr>
            </w:pPr>
            <w:r w:rsidRPr="00477BD4">
              <w:rPr>
                <w:rFonts w:eastAsiaTheme="minorHAnsi" w:cstheme="minorBidi"/>
                <w:sz w:val="24"/>
                <w:szCs w:val="24"/>
                <w:lang w:eastAsia="en-US"/>
              </w:rPr>
              <w:t>Zdržanie NOO na žiadosť FSJ</w:t>
            </w:r>
          </w:p>
        </w:tc>
        <w:tc>
          <w:tcPr>
            <w:tcW w:w="4531" w:type="dxa"/>
            <w:shd w:val="clear" w:color="auto" w:fill="C5E0B3" w:themeFill="accent6" w:themeFillTint="66"/>
            <w:vAlign w:val="center"/>
          </w:tcPr>
          <w:p w14:paraId="05319C1A" w14:textId="77777777" w:rsidR="00216BD5" w:rsidRPr="00477BD4" w:rsidRDefault="00216BD5" w:rsidP="006703BB">
            <w:pPr>
              <w:spacing w:line="276" w:lineRule="auto"/>
              <w:jc w:val="center"/>
              <w:rPr>
                <w:rFonts w:eastAsiaTheme="minorHAnsi" w:cstheme="minorBidi"/>
                <w:sz w:val="24"/>
                <w:szCs w:val="24"/>
                <w:lang w:eastAsia="en-US"/>
              </w:rPr>
            </w:pPr>
            <w:r w:rsidRPr="00477BD4">
              <w:rPr>
                <w:rFonts w:eastAsiaTheme="minorHAnsi" w:cstheme="minorBidi"/>
                <w:sz w:val="24"/>
                <w:szCs w:val="24"/>
                <w:lang w:eastAsia="en-US"/>
              </w:rPr>
              <w:t>2</w:t>
            </w:r>
          </w:p>
        </w:tc>
      </w:tr>
      <w:tr w:rsidR="00216BD5" w:rsidRPr="00477BD4" w14:paraId="1EA93370" w14:textId="77777777" w:rsidTr="006703BB">
        <w:tc>
          <w:tcPr>
            <w:tcW w:w="4531" w:type="dxa"/>
            <w:shd w:val="clear" w:color="auto" w:fill="C5E0B3" w:themeFill="accent6" w:themeFillTint="66"/>
          </w:tcPr>
          <w:p w14:paraId="00A18F7F" w14:textId="77777777" w:rsidR="00216BD5" w:rsidRPr="00477BD4" w:rsidRDefault="00216BD5" w:rsidP="006703BB">
            <w:pPr>
              <w:spacing w:line="276" w:lineRule="auto"/>
              <w:rPr>
                <w:rFonts w:eastAsiaTheme="minorHAnsi" w:cstheme="minorBidi"/>
                <w:sz w:val="24"/>
                <w:szCs w:val="24"/>
                <w:lang w:eastAsia="en-US"/>
              </w:rPr>
            </w:pPr>
            <w:r w:rsidRPr="00477BD4">
              <w:rPr>
                <w:rFonts w:eastAsiaTheme="minorHAnsi" w:cstheme="minorBidi"/>
                <w:sz w:val="24"/>
                <w:szCs w:val="24"/>
                <w:lang w:eastAsia="en-US"/>
              </w:rPr>
              <w:t>Odstúpenie zdržanej NOO vecne a miestne príslušnému OČTK</w:t>
            </w:r>
          </w:p>
        </w:tc>
        <w:tc>
          <w:tcPr>
            <w:tcW w:w="4531" w:type="dxa"/>
            <w:shd w:val="clear" w:color="auto" w:fill="C5E0B3" w:themeFill="accent6" w:themeFillTint="66"/>
            <w:vAlign w:val="center"/>
          </w:tcPr>
          <w:p w14:paraId="510A9955" w14:textId="77777777" w:rsidR="00216BD5" w:rsidRPr="00477BD4" w:rsidRDefault="00216BD5" w:rsidP="006703BB">
            <w:pPr>
              <w:spacing w:line="276" w:lineRule="auto"/>
              <w:jc w:val="center"/>
              <w:rPr>
                <w:rFonts w:eastAsiaTheme="minorHAnsi" w:cstheme="minorBidi"/>
                <w:sz w:val="24"/>
                <w:szCs w:val="24"/>
                <w:lang w:eastAsia="en-US"/>
              </w:rPr>
            </w:pPr>
            <w:r w:rsidRPr="00477BD4">
              <w:rPr>
                <w:rFonts w:eastAsiaTheme="minorHAnsi" w:cstheme="minorBidi"/>
                <w:sz w:val="24"/>
                <w:szCs w:val="24"/>
                <w:lang w:eastAsia="en-US"/>
              </w:rPr>
              <w:t>103</w:t>
            </w:r>
          </w:p>
        </w:tc>
      </w:tr>
      <w:tr w:rsidR="00216BD5" w:rsidRPr="00477BD4" w14:paraId="7E146459" w14:textId="77777777" w:rsidTr="006703BB">
        <w:tc>
          <w:tcPr>
            <w:tcW w:w="4531" w:type="dxa"/>
            <w:shd w:val="clear" w:color="auto" w:fill="C5E0B3" w:themeFill="accent6" w:themeFillTint="66"/>
          </w:tcPr>
          <w:p w14:paraId="5C2721A8" w14:textId="77777777" w:rsidR="00216BD5" w:rsidRPr="00477BD4" w:rsidRDefault="00216BD5" w:rsidP="006703BB">
            <w:pPr>
              <w:spacing w:line="276" w:lineRule="auto"/>
              <w:rPr>
                <w:rFonts w:eastAsiaTheme="minorHAnsi" w:cstheme="minorBidi"/>
                <w:sz w:val="24"/>
                <w:szCs w:val="24"/>
                <w:lang w:eastAsia="en-US"/>
              </w:rPr>
            </w:pPr>
            <w:r w:rsidRPr="00477BD4">
              <w:rPr>
                <w:rFonts w:eastAsiaTheme="minorHAnsi" w:cstheme="minorBidi"/>
                <w:sz w:val="24"/>
                <w:szCs w:val="24"/>
                <w:lang w:eastAsia="en-US"/>
              </w:rPr>
              <w:t xml:space="preserve">Celková hodnota zdržaných NOO </w:t>
            </w:r>
          </w:p>
        </w:tc>
        <w:tc>
          <w:tcPr>
            <w:tcW w:w="4531" w:type="dxa"/>
            <w:shd w:val="clear" w:color="auto" w:fill="C5E0B3" w:themeFill="accent6" w:themeFillTint="66"/>
            <w:vAlign w:val="center"/>
          </w:tcPr>
          <w:p w14:paraId="64431F4B" w14:textId="77777777" w:rsidR="00216BD5" w:rsidRPr="00477BD4" w:rsidRDefault="00216BD5" w:rsidP="006703BB">
            <w:pPr>
              <w:spacing w:line="276" w:lineRule="auto"/>
              <w:jc w:val="center"/>
              <w:rPr>
                <w:rFonts w:eastAsiaTheme="minorHAnsi" w:cstheme="minorBidi"/>
                <w:sz w:val="24"/>
                <w:szCs w:val="24"/>
                <w:lang w:eastAsia="en-US"/>
              </w:rPr>
            </w:pPr>
            <w:r w:rsidRPr="00477BD4">
              <w:rPr>
                <w:rFonts w:eastAsiaTheme="minorHAnsi" w:cstheme="minorBidi"/>
                <w:sz w:val="24"/>
                <w:szCs w:val="24"/>
                <w:lang w:eastAsia="en-US"/>
              </w:rPr>
              <w:t>7.017.330,15</w:t>
            </w:r>
            <w:r>
              <w:rPr>
                <w:rFonts w:eastAsiaTheme="minorHAnsi" w:cstheme="minorBidi"/>
                <w:sz w:val="24"/>
                <w:szCs w:val="24"/>
                <w:lang w:eastAsia="en-US"/>
              </w:rPr>
              <w:t xml:space="preserve"> EUR</w:t>
            </w:r>
          </w:p>
        </w:tc>
      </w:tr>
    </w:tbl>
    <w:p w14:paraId="6F5A9DF2" w14:textId="77777777" w:rsidR="00216BD5" w:rsidRDefault="00216BD5" w:rsidP="00216BD5">
      <w:pPr>
        <w:jc w:val="center"/>
        <w:rPr>
          <w:rFonts w:eastAsiaTheme="minorHAnsi" w:cstheme="minorBidi"/>
          <w:b/>
          <w:sz w:val="26"/>
          <w:szCs w:val="26"/>
          <w:lang w:eastAsia="en-US"/>
        </w:rPr>
      </w:pPr>
    </w:p>
    <w:p w14:paraId="026A313F" w14:textId="77777777" w:rsidR="00216BD5" w:rsidRDefault="00216BD5" w:rsidP="00216BD5">
      <w:pPr>
        <w:jc w:val="center"/>
        <w:rPr>
          <w:rFonts w:eastAsiaTheme="minorHAnsi" w:cstheme="minorBidi"/>
          <w:b/>
          <w:sz w:val="26"/>
          <w:szCs w:val="26"/>
          <w:lang w:eastAsia="en-US"/>
        </w:rPr>
      </w:pPr>
    </w:p>
    <w:p w14:paraId="3EEFF9C1" w14:textId="77777777" w:rsidR="00216BD5" w:rsidRPr="00477BD4" w:rsidRDefault="00216BD5" w:rsidP="00216BD5">
      <w:pPr>
        <w:jc w:val="center"/>
        <w:rPr>
          <w:rFonts w:eastAsiaTheme="minorHAnsi" w:cstheme="minorBidi"/>
          <w:b/>
          <w:sz w:val="26"/>
          <w:szCs w:val="26"/>
          <w:lang w:eastAsia="en-US"/>
        </w:rPr>
      </w:pPr>
      <w:r w:rsidRPr="00477BD4">
        <w:rPr>
          <w:rFonts w:eastAsiaTheme="minorHAnsi" w:cstheme="minorBidi"/>
          <w:b/>
          <w:sz w:val="26"/>
          <w:szCs w:val="26"/>
          <w:lang w:eastAsia="en-US"/>
        </w:rPr>
        <w:t>2.3</w:t>
      </w:r>
      <w:r>
        <w:rPr>
          <w:rFonts w:eastAsiaTheme="minorHAnsi" w:cstheme="minorBidi"/>
          <w:b/>
          <w:sz w:val="26"/>
          <w:szCs w:val="26"/>
          <w:lang w:eastAsia="en-US"/>
        </w:rPr>
        <w:t xml:space="preserve"> </w:t>
      </w:r>
      <w:r w:rsidRPr="00477BD4">
        <w:rPr>
          <w:rFonts w:eastAsiaTheme="minorHAnsi" w:cstheme="minorBidi"/>
          <w:b/>
          <w:sz w:val="26"/>
          <w:szCs w:val="26"/>
          <w:lang w:eastAsia="en-US"/>
        </w:rPr>
        <w:t>Typy zaznamenaných NOO</w:t>
      </w:r>
    </w:p>
    <w:p w14:paraId="174D3FFA" w14:textId="77777777" w:rsidR="00216BD5" w:rsidRPr="00477BD4" w:rsidRDefault="00216BD5" w:rsidP="00216BD5">
      <w:pPr>
        <w:spacing w:after="120"/>
        <w:rPr>
          <w:rFonts w:eastAsiaTheme="minorHAnsi" w:cstheme="minorBidi"/>
          <w:lang w:eastAsia="en-US"/>
        </w:rPr>
      </w:pPr>
    </w:p>
    <w:p w14:paraId="099C22A7"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Medzi najčastejšie zaznamenané typy NOO, ktoré FSJ v období roku 2014 sledovala, analyzovala a vyhodnocovala patrili predovšetkým bezhotovostný platobný styk, hotovostné operácie, zahraničný platobný styk, operácie realizované subjektmi registrovanými </w:t>
      </w:r>
      <w:r w:rsidRPr="00477BD4">
        <w:rPr>
          <w:rFonts w:eastAsiaTheme="minorHAnsi" w:cstheme="minorBidi"/>
          <w:sz w:val="24"/>
          <w:szCs w:val="24"/>
          <w:lang w:eastAsia="en-US"/>
        </w:rPr>
        <w:lastRenderedPageBreak/>
        <w:t>v daňových rajoch (NOO s prvkom „off shore“), phising, pharming, internetový podvod, či</w:t>
      </w:r>
      <w:r>
        <w:rPr>
          <w:rFonts w:eastAsiaTheme="minorHAnsi" w:cstheme="minorBidi"/>
          <w:sz w:val="24"/>
          <w:szCs w:val="24"/>
          <w:lang w:eastAsia="en-US"/>
        </w:rPr>
        <w:t> </w:t>
      </w:r>
      <w:r w:rsidRPr="00477BD4">
        <w:rPr>
          <w:rFonts w:eastAsiaTheme="minorHAnsi" w:cstheme="minorBidi"/>
          <w:sz w:val="24"/>
          <w:szCs w:val="24"/>
          <w:lang w:eastAsia="en-US"/>
        </w:rPr>
        <w:t>hazard.</w:t>
      </w:r>
      <w:r w:rsidRPr="00477BD4">
        <w:rPr>
          <w:rFonts w:eastAsiaTheme="minorHAnsi" w:cstheme="minorBidi"/>
          <w:sz w:val="24"/>
          <w:szCs w:val="24"/>
          <w:lang w:eastAsia="en-US"/>
        </w:rPr>
        <w:tab/>
      </w:r>
    </w:p>
    <w:p w14:paraId="45EA296C" w14:textId="77777777" w:rsidR="00216BD5" w:rsidRPr="00477BD4" w:rsidRDefault="00216BD5" w:rsidP="00216BD5">
      <w:pPr>
        <w:spacing w:after="120"/>
        <w:rPr>
          <w:rFonts w:eastAsiaTheme="minorHAnsi" w:cstheme="minorBidi"/>
          <w:sz w:val="24"/>
          <w:szCs w:val="24"/>
          <w:lang w:eastAsia="en-US"/>
        </w:rPr>
      </w:pPr>
    </w:p>
    <w:p w14:paraId="4343FC63" w14:textId="77777777" w:rsidR="00216BD5" w:rsidRPr="00477BD4" w:rsidRDefault="00216BD5" w:rsidP="00216BD5">
      <w:pPr>
        <w:spacing w:after="120"/>
        <w:rPr>
          <w:rFonts w:eastAsiaTheme="minorHAnsi" w:cstheme="minorBidi"/>
          <w:lang w:eastAsia="en-US"/>
        </w:rPr>
      </w:pPr>
      <w:r w:rsidRPr="00477BD4">
        <w:rPr>
          <w:rFonts w:eastAsiaTheme="minorHAnsi" w:cstheme="minorBidi"/>
          <w:lang w:eastAsia="en-US"/>
        </w:rPr>
        <w:t xml:space="preserve">Tabuľka č. </w:t>
      </w:r>
      <w:r>
        <w:rPr>
          <w:rFonts w:eastAsiaTheme="minorHAnsi" w:cstheme="minorBidi"/>
          <w:lang w:eastAsia="en-US"/>
        </w:rPr>
        <w:t xml:space="preserve">5: </w:t>
      </w:r>
      <w:r w:rsidRPr="00477BD4">
        <w:rPr>
          <w:rFonts w:eastAsiaTheme="minorHAnsi" w:cstheme="minorBidi"/>
          <w:lang w:eastAsia="en-US"/>
        </w:rPr>
        <w:t>Štatistický prehľad typov zaznamenaných NOO v roku 2014</w:t>
      </w:r>
    </w:p>
    <w:tbl>
      <w:tblPr>
        <w:tblStyle w:val="Mriekatabuky3"/>
        <w:tblW w:w="0" w:type="auto"/>
        <w:tblLook w:val="04A0" w:firstRow="1" w:lastRow="0" w:firstColumn="1" w:lastColumn="0" w:noHBand="0" w:noVBand="1"/>
      </w:tblPr>
      <w:tblGrid>
        <w:gridCol w:w="4390"/>
        <w:gridCol w:w="1651"/>
        <w:gridCol w:w="3021"/>
      </w:tblGrid>
      <w:tr w:rsidR="00216BD5" w:rsidRPr="00477BD4" w14:paraId="657400B0" w14:textId="77777777" w:rsidTr="006703BB">
        <w:tc>
          <w:tcPr>
            <w:tcW w:w="4390" w:type="dxa"/>
            <w:shd w:val="clear" w:color="auto" w:fill="A8D08D" w:themeFill="accent6" w:themeFillTint="99"/>
            <w:vAlign w:val="center"/>
          </w:tcPr>
          <w:p w14:paraId="223627E0"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Typ</w:t>
            </w:r>
            <w:r>
              <w:rPr>
                <w:rFonts w:eastAsiaTheme="minorHAnsi" w:cstheme="minorBidi"/>
                <w:b/>
                <w:sz w:val="24"/>
                <w:szCs w:val="24"/>
                <w:lang w:eastAsia="en-US"/>
              </w:rPr>
              <w:t xml:space="preserve"> </w:t>
            </w:r>
            <w:r w:rsidRPr="00477BD4">
              <w:rPr>
                <w:rFonts w:eastAsiaTheme="minorHAnsi" w:cstheme="minorBidi"/>
                <w:b/>
                <w:sz w:val="24"/>
                <w:szCs w:val="24"/>
                <w:lang w:eastAsia="en-US"/>
              </w:rPr>
              <w:t>NOO</w:t>
            </w:r>
          </w:p>
        </w:tc>
        <w:tc>
          <w:tcPr>
            <w:tcW w:w="1651" w:type="dxa"/>
            <w:shd w:val="clear" w:color="auto" w:fill="A8D08D" w:themeFill="accent6" w:themeFillTint="99"/>
            <w:vAlign w:val="center"/>
          </w:tcPr>
          <w:p w14:paraId="12A481E9"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Počet hlásení o NOO</w:t>
            </w:r>
          </w:p>
        </w:tc>
        <w:tc>
          <w:tcPr>
            <w:tcW w:w="3021" w:type="dxa"/>
            <w:shd w:val="clear" w:color="auto" w:fill="A8D08D" w:themeFill="accent6" w:themeFillTint="99"/>
            <w:vAlign w:val="center"/>
          </w:tcPr>
          <w:p w14:paraId="4C1890B3"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Hodnota obchodu v EUR</w:t>
            </w:r>
          </w:p>
        </w:tc>
      </w:tr>
      <w:tr w:rsidR="00216BD5" w:rsidRPr="00477BD4" w14:paraId="4B8DF9C2" w14:textId="77777777" w:rsidTr="006703BB">
        <w:tc>
          <w:tcPr>
            <w:tcW w:w="4390" w:type="dxa"/>
            <w:shd w:val="clear" w:color="auto" w:fill="C5E0B3" w:themeFill="accent6" w:themeFillTint="66"/>
            <w:vAlign w:val="center"/>
          </w:tcPr>
          <w:p w14:paraId="2E4B3BBA"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Bezhotovostný platobný styk</w:t>
            </w:r>
          </w:p>
        </w:tc>
        <w:tc>
          <w:tcPr>
            <w:tcW w:w="1651" w:type="dxa"/>
            <w:shd w:val="clear" w:color="auto" w:fill="C5E0B3" w:themeFill="accent6" w:themeFillTint="66"/>
            <w:vAlign w:val="center"/>
          </w:tcPr>
          <w:p w14:paraId="173F159B"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2386</w:t>
            </w:r>
          </w:p>
        </w:tc>
        <w:tc>
          <w:tcPr>
            <w:tcW w:w="3021" w:type="dxa"/>
            <w:shd w:val="clear" w:color="auto" w:fill="C5E0B3" w:themeFill="accent6" w:themeFillTint="66"/>
            <w:vAlign w:val="center"/>
          </w:tcPr>
          <w:p w14:paraId="6A2C9646"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2.693.103.696</w:t>
            </w:r>
          </w:p>
        </w:tc>
      </w:tr>
      <w:tr w:rsidR="00216BD5" w:rsidRPr="00477BD4" w14:paraId="3F07E3BB" w14:textId="77777777" w:rsidTr="006703BB">
        <w:tc>
          <w:tcPr>
            <w:tcW w:w="4390" w:type="dxa"/>
            <w:shd w:val="clear" w:color="auto" w:fill="C5E0B3" w:themeFill="accent6" w:themeFillTint="66"/>
            <w:vAlign w:val="center"/>
          </w:tcPr>
          <w:p w14:paraId="20B36AC2"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Hotovostné operácie</w:t>
            </w:r>
          </w:p>
        </w:tc>
        <w:tc>
          <w:tcPr>
            <w:tcW w:w="1651" w:type="dxa"/>
            <w:shd w:val="clear" w:color="auto" w:fill="C5E0B3" w:themeFill="accent6" w:themeFillTint="66"/>
            <w:vAlign w:val="center"/>
          </w:tcPr>
          <w:p w14:paraId="1E1361CE"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2582</w:t>
            </w:r>
          </w:p>
        </w:tc>
        <w:tc>
          <w:tcPr>
            <w:tcW w:w="3021" w:type="dxa"/>
            <w:shd w:val="clear" w:color="auto" w:fill="C5E0B3" w:themeFill="accent6" w:themeFillTint="66"/>
            <w:vAlign w:val="center"/>
          </w:tcPr>
          <w:p w14:paraId="689BE0B1"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567.887.874</w:t>
            </w:r>
          </w:p>
        </w:tc>
      </w:tr>
      <w:tr w:rsidR="00216BD5" w:rsidRPr="00477BD4" w14:paraId="76E6445C" w14:textId="77777777" w:rsidTr="006703BB">
        <w:tc>
          <w:tcPr>
            <w:tcW w:w="4390" w:type="dxa"/>
            <w:shd w:val="clear" w:color="auto" w:fill="C5E0B3" w:themeFill="accent6" w:themeFillTint="66"/>
            <w:vAlign w:val="center"/>
          </w:tcPr>
          <w:p w14:paraId="2CB85952"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Zahraničný platobný styk</w:t>
            </w:r>
          </w:p>
        </w:tc>
        <w:tc>
          <w:tcPr>
            <w:tcW w:w="1651" w:type="dxa"/>
            <w:shd w:val="clear" w:color="auto" w:fill="C5E0B3" w:themeFill="accent6" w:themeFillTint="66"/>
            <w:vAlign w:val="center"/>
          </w:tcPr>
          <w:p w14:paraId="37477735"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1450</w:t>
            </w:r>
          </w:p>
        </w:tc>
        <w:tc>
          <w:tcPr>
            <w:tcW w:w="3021" w:type="dxa"/>
            <w:shd w:val="clear" w:color="auto" w:fill="C5E0B3" w:themeFill="accent6" w:themeFillTint="66"/>
            <w:vAlign w:val="center"/>
          </w:tcPr>
          <w:p w14:paraId="4BB4EC9E"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2.508.322.478</w:t>
            </w:r>
          </w:p>
        </w:tc>
      </w:tr>
      <w:tr w:rsidR="00216BD5" w:rsidRPr="00477BD4" w14:paraId="6734A6CC" w14:textId="77777777" w:rsidTr="006703BB">
        <w:tc>
          <w:tcPr>
            <w:tcW w:w="4390" w:type="dxa"/>
            <w:shd w:val="clear" w:color="auto" w:fill="C5E0B3" w:themeFill="accent6" w:themeFillTint="66"/>
            <w:vAlign w:val="center"/>
          </w:tcPr>
          <w:p w14:paraId="7AD96AE4"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NOO s prvkom „off shore“</w:t>
            </w:r>
          </w:p>
        </w:tc>
        <w:tc>
          <w:tcPr>
            <w:tcW w:w="1651" w:type="dxa"/>
            <w:shd w:val="clear" w:color="auto" w:fill="C5E0B3" w:themeFill="accent6" w:themeFillTint="66"/>
            <w:vAlign w:val="center"/>
          </w:tcPr>
          <w:p w14:paraId="01E69535"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157</w:t>
            </w:r>
          </w:p>
        </w:tc>
        <w:tc>
          <w:tcPr>
            <w:tcW w:w="3021" w:type="dxa"/>
            <w:shd w:val="clear" w:color="auto" w:fill="C5E0B3" w:themeFill="accent6" w:themeFillTint="66"/>
            <w:vAlign w:val="center"/>
          </w:tcPr>
          <w:p w14:paraId="05F6C6C8"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196.391.755</w:t>
            </w:r>
          </w:p>
        </w:tc>
      </w:tr>
      <w:tr w:rsidR="00216BD5" w:rsidRPr="00477BD4" w14:paraId="695A3532" w14:textId="77777777" w:rsidTr="006703BB">
        <w:tc>
          <w:tcPr>
            <w:tcW w:w="4390" w:type="dxa"/>
            <w:shd w:val="clear" w:color="auto" w:fill="C5E0B3" w:themeFill="accent6" w:themeFillTint="66"/>
            <w:vAlign w:val="center"/>
          </w:tcPr>
          <w:p w14:paraId="69EFBD2A"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Phising, Pharming</w:t>
            </w:r>
          </w:p>
        </w:tc>
        <w:tc>
          <w:tcPr>
            <w:tcW w:w="1651" w:type="dxa"/>
            <w:shd w:val="clear" w:color="auto" w:fill="C5E0B3" w:themeFill="accent6" w:themeFillTint="66"/>
            <w:vAlign w:val="center"/>
          </w:tcPr>
          <w:p w14:paraId="2D38DD62"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198</w:t>
            </w:r>
          </w:p>
        </w:tc>
        <w:tc>
          <w:tcPr>
            <w:tcW w:w="3021" w:type="dxa"/>
            <w:shd w:val="clear" w:color="auto" w:fill="C5E0B3" w:themeFill="accent6" w:themeFillTint="66"/>
            <w:vAlign w:val="center"/>
          </w:tcPr>
          <w:p w14:paraId="7991CC5E"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6.758.251</w:t>
            </w:r>
          </w:p>
        </w:tc>
      </w:tr>
      <w:tr w:rsidR="00216BD5" w:rsidRPr="00477BD4" w14:paraId="54A5E866" w14:textId="77777777" w:rsidTr="006703BB">
        <w:tc>
          <w:tcPr>
            <w:tcW w:w="4390" w:type="dxa"/>
            <w:shd w:val="clear" w:color="auto" w:fill="C5E0B3" w:themeFill="accent6" w:themeFillTint="66"/>
            <w:vAlign w:val="center"/>
          </w:tcPr>
          <w:p w14:paraId="44B7B387"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Internetový podvod</w:t>
            </w:r>
          </w:p>
        </w:tc>
        <w:tc>
          <w:tcPr>
            <w:tcW w:w="1651" w:type="dxa"/>
            <w:shd w:val="clear" w:color="auto" w:fill="C5E0B3" w:themeFill="accent6" w:themeFillTint="66"/>
            <w:vAlign w:val="center"/>
          </w:tcPr>
          <w:p w14:paraId="566F1F41"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63</w:t>
            </w:r>
          </w:p>
        </w:tc>
        <w:tc>
          <w:tcPr>
            <w:tcW w:w="3021" w:type="dxa"/>
            <w:shd w:val="clear" w:color="auto" w:fill="C5E0B3" w:themeFill="accent6" w:themeFillTint="66"/>
            <w:vAlign w:val="center"/>
          </w:tcPr>
          <w:p w14:paraId="000ED8F5"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3.612.626</w:t>
            </w:r>
          </w:p>
        </w:tc>
      </w:tr>
      <w:tr w:rsidR="00216BD5" w:rsidRPr="00477BD4" w14:paraId="0073705F" w14:textId="77777777" w:rsidTr="006703BB">
        <w:tc>
          <w:tcPr>
            <w:tcW w:w="4390" w:type="dxa"/>
            <w:shd w:val="clear" w:color="auto" w:fill="C5E0B3" w:themeFill="accent6" w:themeFillTint="66"/>
            <w:vAlign w:val="center"/>
          </w:tcPr>
          <w:p w14:paraId="7BD17023"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Hazard</w:t>
            </w:r>
          </w:p>
        </w:tc>
        <w:tc>
          <w:tcPr>
            <w:tcW w:w="1651" w:type="dxa"/>
            <w:shd w:val="clear" w:color="auto" w:fill="C5E0B3" w:themeFill="accent6" w:themeFillTint="66"/>
            <w:vAlign w:val="center"/>
          </w:tcPr>
          <w:p w14:paraId="2CC7E973"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6</w:t>
            </w:r>
          </w:p>
        </w:tc>
        <w:tc>
          <w:tcPr>
            <w:tcW w:w="3021" w:type="dxa"/>
            <w:shd w:val="clear" w:color="auto" w:fill="C5E0B3" w:themeFill="accent6" w:themeFillTint="66"/>
            <w:vAlign w:val="center"/>
          </w:tcPr>
          <w:p w14:paraId="0C53A87D"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1.118.150</w:t>
            </w:r>
          </w:p>
        </w:tc>
      </w:tr>
    </w:tbl>
    <w:p w14:paraId="67AA9F63" w14:textId="77777777" w:rsidR="00216BD5" w:rsidRPr="00477BD4" w:rsidRDefault="00216BD5" w:rsidP="00216BD5">
      <w:pPr>
        <w:spacing w:after="120"/>
        <w:rPr>
          <w:rFonts w:eastAsiaTheme="minorHAnsi" w:cstheme="minorBidi"/>
          <w:sz w:val="24"/>
          <w:szCs w:val="24"/>
          <w:lang w:eastAsia="en-US"/>
        </w:rPr>
      </w:pPr>
    </w:p>
    <w:p w14:paraId="17B17F9F"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Ako vyplýva z uvedenej tabuľky, z pohľadu boja proti legalizácii príjmov z trestnej činnosti a financovania terorizmu, kde boli FSJ odstúpené informácie OČTK, jedným z najčastejších prípadov hlásení </w:t>
      </w:r>
      <w:r>
        <w:rPr>
          <w:rFonts w:eastAsiaTheme="minorHAnsi" w:cstheme="minorBidi"/>
          <w:sz w:val="24"/>
          <w:szCs w:val="24"/>
          <w:lang w:eastAsia="en-US"/>
        </w:rPr>
        <w:t xml:space="preserve">o NOO </w:t>
      </w:r>
      <w:r w:rsidRPr="00477BD4">
        <w:rPr>
          <w:rFonts w:eastAsiaTheme="minorHAnsi" w:cstheme="minorBidi"/>
          <w:sz w:val="24"/>
          <w:szCs w:val="24"/>
          <w:lang w:eastAsia="en-US"/>
        </w:rPr>
        <w:t xml:space="preserve">boli internetové podvody a ich rôzne modifikácie, ako sú phising a pharming. </w:t>
      </w:r>
    </w:p>
    <w:p w14:paraId="0F79AFDC"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V roku 2014 bolo oddelením </w:t>
      </w:r>
      <w:r>
        <w:rPr>
          <w:rFonts w:eastAsiaTheme="minorHAnsi" w:cstheme="minorBidi"/>
          <w:sz w:val="24"/>
          <w:szCs w:val="24"/>
          <w:lang w:eastAsia="en-US"/>
        </w:rPr>
        <w:t>neobvyklých obchodných operácií</w:t>
      </w:r>
      <w:r w:rsidRPr="00477BD4">
        <w:rPr>
          <w:rFonts w:eastAsiaTheme="minorHAnsi" w:cstheme="minorBidi"/>
          <w:sz w:val="24"/>
          <w:szCs w:val="24"/>
          <w:lang w:eastAsia="en-US"/>
        </w:rPr>
        <w:t xml:space="preserve"> evidovaných celkovo 198 prípadov hlásení o NOO týkajúcich sa phishingu, či pharmingu, čo je nárast o 108 prípadov v porovnaní s rokom 2013 a 63 prípadov hlásení o NOO týkajúcich sa internetových podvodov, čo je o 32 prípadov viac, ako v roku 2013, z čoho vyplýva, že u oboch javových foriem NOO bol zaznamenaný nárast o viac ako 100 %. </w:t>
      </w:r>
    </w:p>
    <w:p w14:paraId="4A5C4E22"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Phishingy najčastejšie obsahovali informácie o prípadoch, keď osobný počítač, resp. mobilný telefón majiteľa konkrétneho účtu</w:t>
      </w:r>
      <w:r>
        <w:rPr>
          <w:rFonts w:eastAsiaTheme="minorHAnsi" w:cstheme="minorBidi"/>
          <w:sz w:val="24"/>
          <w:szCs w:val="24"/>
          <w:lang w:eastAsia="en-US"/>
        </w:rPr>
        <w:t xml:space="preserve"> </w:t>
      </w:r>
      <w:r w:rsidRPr="00477BD4">
        <w:rPr>
          <w:rFonts w:eastAsiaTheme="minorHAnsi" w:cstheme="minorBidi"/>
          <w:sz w:val="24"/>
          <w:szCs w:val="24"/>
          <w:lang w:eastAsia="en-US"/>
        </w:rPr>
        <w:t>bol úmyselne napadnutý softvérom – vírusom,</w:t>
      </w:r>
      <w:r>
        <w:rPr>
          <w:rFonts w:eastAsiaTheme="minorHAnsi" w:cstheme="minorBidi"/>
          <w:sz w:val="24"/>
          <w:szCs w:val="24"/>
          <w:lang w:eastAsia="en-US"/>
        </w:rPr>
        <w:t xml:space="preserve"> </w:t>
      </w:r>
      <w:r w:rsidRPr="00477BD4">
        <w:rPr>
          <w:rFonts w:eastAsiaTheme="minorHAnsi" w:cstheme="minorBidi"/>
          <w:sz w:val="24"/>
          <w:szCs w:val="24"/>
          <w:lang w:eastAsia="en-US"/>
        </w:rPr>
        <w:t>formou SMS správy, alebo podvodnou aplikáciou za účelom následného neoprávneného prevodu peňažných prostriedkov z vytipovaného účtu, bez vedomia a súhlasu majiteľa účtu. Hlásenia o internetových podvodoch prevažne súviseli s predstieraným predajom tovaru, najmä osobných automobilov a rôznych priemyselných zariadení, mobilných telefónov, so</w:t>
      </w:r>
      <w:r>
        <w:rPr>
          <w:rFonts w:eastAsiaTheme="minorHAnsi" w:cstheme="minorBidi"/>
          <w:sz w:val="24"/>
          <w:szCs w:val="24"/>
          <w:lang w:eastAsia="en-US"/>
        </w:rPr>
        <w:t> </w:t>
      </w:r>
      <w:r w:rsidRPr="00477BD4">
        <w:rPr>
          <w:rFonts w:eastAsiaTheme="minorHAnsi" w:cstheme="minorBidi"/>
          <w:sz w:val="24"/>
          <w:szCs w:val="24"/>
          <w:lang w:eastAsia="en-US"/>
        </w:rPr>
        <w:t xml:space="preserve">sprostredkovaním zamestnania v zahraničí a podobne. Tento predstieraný predaj bol viazaný na zaplatenie zálohy, prípadne celej kúpnej ceny vopred, na účet situovaný v mnohých prípadoch v banke so sídlom v zahraničí, pričom k dodaniu tovaru zo strany predávajúceho neprišlo. Najčastejšie išlo o prípady, v ktorých klient peniaze poukázal na účty vedené v bankách </w:t>
      </w:r>
      <w:r>
        <w:rPr>
          <w:rFonts w:eastAsiaTheme="minorHAnsi" w:cstheme="minorBidi"/>
          <w:sz w:val="24"/>
          <w:szCs w:val="24"/>
          <w:lang w:eastAsia="en-US"/>
        </w:rPr>
        <w:t>na Slovensku</w:t>
      </w:r>
      <w:r w:rsidRPr="00477BD4">
        <w:rPr>
          <w:rFonts w:eastAsiaTheme="minorHAnsi" w:cstheme="minorBidi"/>
          <w:sz w:val="24"/>
          <w:szCs w:val="24"/>
          <w:lang w:eastAsia="en-US"/>
        </w:rPr>
        <w:t xml:space="preserve">, ktorých disponentmi boli prevažne občania Rumunska. </w:t>
      </w:r>
    </w:p>
    <w:p w14:paraId="522E4591"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V roku 2014, tak ako aj v predchádzajúcom roku, podstatná časť hlásení o NOO obsahovala informácie o využívaní schránkových a fiktívnych spoločností pri realizácií zložitých obchodných transakcií, za účelom zneprehľadnenia finančného toku a následne aj</w:t>
      </w:r>
      <w:r>
        <w:rPr>
          <w:rFonts w:eastAsiaTheme="minorHAnsi" w:cstheme="minorBidi"/>
          <w:sz w:val="24"/>
          <w:szCs w:val="24"/>
          <w:lang w:eastAsia="en-US"/>
        </w:rPr>
        <w:t> </w:t>
      </w:r>
      <w:r w:rsidRPr="00477BD4">
        <w:rPr>
          <w:rFonts w:eastAsiaTheme="minorHAnsi" w:cstheme="minorBidi"/>
          <w:sz w:val="24"/>
          <w:szCs w:val="24"/>
          <w:lang w:eastAsia="en-US"/>
        </w:rPr>
        <w:t>pohybu tovaru, či služieb, so súčasným zapojením tzv. „bielych koní“ pri tzv. karuselových podvodoch, s cieľom uplatnenia nadmerných odpočtov dane z pridanej hodnoty, respektíve za</w:t>
      </w:r>
      <w:r>
        <w:rPr>
          <w:rFonts w:eastAsiaTheme="minorHAnsi" w:cstheme="minorBidi"/>
          <w:sz w:val="24"/>
          <w:szCs w:val="24"/>
          <w:lang w:eastAsia="en-US"/>
        </w:rPr>
        <w:t> </w:t>
      </w:r>
      <w:r w:rsidRPr="00477BD4">
        <w:rPr>
          <w:rFonts w:eastAsiaTheme="minorHAnsi" w:cstheme="minorBidi"/>
          <w:sz w:val="24"/>
          <w:szCs w:val="24"/>
          <w:lang w:eastAsia="en-US"/>
        </w:rPr>
        <w:t>účelom zníženia základu pre výpočet dane.</w:t>
      </w:r>
    </w:p>
    <w:p w14:paraId="542FB600"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r>
      <w:r>
        <w:rPr>
          <w:rFonts w:eastAsiaTheme="minorHAnsi" w:cstheme="minorBidi"/>
          <w:sz w:val="24"/>
          <w:szCs w:val="24"/>
          <w:lang w:eastAsia="en-US"/>
        </w:rPr>
        <w:t>O</w:t>
      </w:r>
      <w:r w:rsidRPr="00477BD4">
        <w:rPr>
          <w:rFonts w:eastAsiaTheme="minorHAnsi" w:cstheme="minorBidi"/>
          <w:sz w:val="24"/>
          <w:szCs w:val="24"/>
          <w:lang w:eastAsia="en-US"/>
        </w:rPr>
        <w:t xml:space="preserve">ddelením </w:t>
      </w:r>
      <w:r>
        <w:rPr>
          <w:rFonts w:eastAsiaTheme="minorHAnsi" w:cstheme="minorBidi"/>
          <w:sz w:val="24"/>
          <w:szCs w:val="24"/>
          <w:lang w:eastAsia="en-US"/>
        </w:rPr>
        <w:t>neobvyklých obchodných operácií boli v</w:t>
      </w:r>
      <w:r w:rsidRPr="00477BD4">
        <w:rPr>
          <w:rFonts w:eastAsiaTheme="minorHAnsi" w:cstheme="minorBidi"/>
          <w:sz w:val="24"/>
          <w:szCs w:val="24"/>
          <w:lang w:eastAsia="en-US"/>
        </w:rPr>
        <w:t xml:space="preserve"> roku 2014 vo zvýšenej miere evidované aj hlásenia o NOO, ktoré sa týkali informácií o umiestňovaní významných objemov peňažných prostriedkov maďarskými občanmi, resp. čínskymi občanmi žijúcimi v Maďarsku, na účtoch obchodných subjektov so sídlom v off shore oblastiach, vedených v bankách na území Slovenska, či na účtoch slovenských právnických osôb vedených </w:t>
      </w:r>
      <w:r w:rsidRPr="00477BD4">
        <w:rPr>
          <w:rFonts w:eastAsiaTheme="minorHAnsi" w:cstheme="minorBidi"/>
          <w:sz w:val="24"/>
          <w:szCs w:val="24"/>
          <w:lang w:eastAsia="en-US"/>
        </w:rPr>
        <w:lastRenderedPageBreak/>
        <w:t>v bankách SR so štatutárnymi zástupcami – občanmi SR, ako aj čínskymi a maďarskými občanmi, ktorí sú disponenti na účtoch týchto spoločností. Medzinárodný prvok pri štruktúre orgánov právnických osôb, t. j. štatutárnych zástupcov a disponento</w:t>
      </w:r>
      <w:r>
        <w:rPr>
          <w:rFonts w:eastAsiaTheme="minorHAnsi" w:cstheme="minorBidi"/>
          <w:sz w:val="24"/>
          <w:szCs w:val="24"/>
          <w:lang w:eastAsia="en-US"/>
        </w:rPr>
        <w:t xml:space="preserve">v na účtoch týchto spoločností </w:t>
      </w:r>
      <w:r w:rsidRPr="00477BD4">
        <w:rPr>
          <w:rFonts w:eastAsiaTheme="minorHAnsi" w:cstheme="minorBidi"/>
          <w:sz w:val="24"/>
          <w:szCs w:val="24"/>
          <w:lang w:eastAsia="en-US"/>
        </w:rPr>
        <w:t>nasvedčuje tomu, že jeho účelom je v čo najväčšej miere sťažiť prípadnú identifikáciu a dokumentovanie pôvodu týchto finančných prostriedkov, najmä proces zabezpečovania potrebných informácií k preverovaným transakciám v súvislosti s podozrením z legalizácie.</w:t>
      </w:r>
    </w:p>
    <w:p w14:paraId="4565EE2C"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Taktiež boli v roku 2014 zaznamenané prípady hlásení o NOO súvisiacich s investíciami do kúpy nehnuteľností, ktoré sú uhrádzané prostriedkami vloženými na účty v hotovosti bez toho, aby bol známy pôvod týchto vkladaných finančných prostriedkov. </w:t>
      </w:r>
    </w:p>
    <w:p w14:paraId="726EF575"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Opätovne boli v roku 2014</w:t>
      </w:r>
      <w:r>
        <w:rPr>
          <w:rFonts w:eastAsiaTheme="minorHAnsi" w:cstheme="minorBidi"/>
          <w:sz w:val="24"/>
          <w:szCs w:val="24"/>
          <w:lang w:eastAsia="en-US"/>
        </w:rPr>
        <w:t xml:space="preserve"> </w:t>
      </w:r>
      <w:r w:rsidRPr="00477BD4">
        <w:rPr>
          <w:rFonts w:eastAsiaTheme="minorHAnsi" w:cstheme="minorBidi"/>
          <w:sz w:val="24"/>
          <w:szCs w:val="24"/>
          <w:lang w:eastAsia="en-US"/>
        </w:rPr>
        <w:t>zaznamenané typy NOO, v ktorých boli skupinou osôb cielene,</w:t>
      </w:r>
      <w:r>
        <w:rPr>
          <w:rFonts w:eastAsiaTheme="minorHAnsi" w:cstheme="minorBidi"/>
          <w:sz w:val="24"/>
          <w:szCs w:val="24"/>
          <w:lang w:eastAsia="en-US"/>
        </w:rPr>
        <w:t xml:space="preserve"> </w:t>
      </w:r>
      <w:r w:rsidRPr="00477BD4">
        <w:rPr>
          <w:rFonts w:eastAsiaTheme="minorHAnsi" w:cstheme="minorBidi"/>
          <w:sz w:val="24"/>
          <w:szCs w:val="24"/>
          <w:lang w:eastAsia="en-US"/>
        </w:rPr>
        <w:t>podvodným spôsobom, vo vopred vytipovanom obchodnom vzťahu odklonené platby vo veľkých objemoch (rádovo milióny EUR) na vopred pripravený účet, otvorený v inej krajine než tej, v ktorej bol realizovaný základný obchodný vzťah (v zaznamenaných prípadoch NOO boli účty, pripravené na umiestnenie príjmu</w:t>
      </w:r>
      <w:r>
        <w:rPr>
          <w:rFonts w:eastAsiaTheme="minorHAnsi" w:cstheme="minorBidi"/>
          <w:sz w:val="24"/>
          <w:szCs w:val="24"/>
          <w:lang w:eastAsia="en-US"/>
        </w:rPr>
        <w:t>,</w:t>
      </w:r>
      <w:r w:rsidRPr="00477BD4">
        <w:rPr>
          <w:rFonts w:eastAsiaTheme="minorHAnsi" w:cstheme="minorBidi"/>
          <w:sz w:val="24"/>
          <w:szCs w:val="24"/>
          <w:lang w:eastAsia="en-US"/>
        </w:rPr>
        <w:t xml:space="preserve"> otvorené v bankách so sídlom na Slovensku), pričom platiteľ, ktorým bola obchodná strana prípadu, bol mylne informovaný (spravidla e-mailom) o zmene platobného styku a účtu svojho obchodného partnera. Po</w:t>
      </w:r>
      <w:r>
        <w:rPr>
          <w:rFonts w:eastAsiaTheme="minorHAnsi" w:cstheme="minorBidi"/>
          <w:sz w:val="24"/>
          <w:szCs w:val="24"/>
          <w:lang w:eastAsia="en-US"/>
        </w:rPr>
        <w:t> </w:t>
      </w:r>
      <w:r w:rsidRPr="00477BD4">
        <w:rPr>
          <w:rFonts w:eastAsiaTheme="minorHAnsi" w:cstheme="minorBidi"/>
          <w:sz w:val="24"/>
          <w:szCs w:val="24"/>
          <w:lang w:eastAsia="en-US"/>
        </w:rPr>
        <w:t xml:space="preserve">zrealizovaní úhrady na pripravený účet, ihneď nasledovali bezhotovostné prevody, v rámci ktorých boli finančné prostriedky finálne prevedené z účtov vedených v slovenských bankách na zahraničné účty vedené v bankách, lokalizovaných v známych off shore oblastiach ako napríklad Hongkong a Čína, u ktorých je známa nízka efektivita legislatívnych opatrení proti legalizácii príjmu z trestnej činnosti. Z ohlásených prípadov bolo zistené, že osoby, ktoré takýmto spôsobom zrealizovali uvedené operácie boli občania Maďarska a Rumunska. V prípade poškodených spoločností išlo prevažne o obchodné spoločnosti sídliace a podnikajúce vo Francúzsku. </w:t>
      </w:r>
    </w:p>
    <w:p w14:paraId="25CB83CA"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V roku 2014 FSJ zaznamenala aj nové prípady obchodov, v rámci ktorých boli jednotlivé platby (úhrady) realizované virtuálnou digitálnou menou</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 Bitcoin. </w:t>
      </w:r>
    </w:p>
    <w:p w14:paraId="0B8BA0A5"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Bitcoin, podobne ako aj iné virtuálne meny predstavujú typ neregulovaných digitálnych peňazí, čo znamená, že ich využívanie nie je pod dohľadom Národnej banky Slovenska</w:t>
      </w:r>
      <w:r>
        <w:rPr>
          <w:rFonts w:eastAsiaTheme="minorHAnsi" w:cstheme="minorBidi"/>
          <w:sz w:val="24"/>
          <w:szCs w:val="24"/>
          <w:lang w:eastAsia="en-US"/>
        </w:rPr>
        <w:t xml:space="preserve"> (ďalej len „NBS“)</w:t>
      </w:r>
      <w:r w:rsidRPr="00477BD4">
        <w:rPr>
          <w:rFonts w:eastAsiaTheme="minorHAnsi" w:cstheme="minorBidi"/>
          <w:sz w:val="24"/>
          <w:szCs w:val="24"/>
          <w:lang w:eastAsia="en-US"/>
        </w:rPr>
        <w:t>, či Európskej centrálnej banky, nakoľko európska legislatíva, vrátane slovenského právneho poriadku neupravuje a nevymedzuje činnosti súvisiace s virtuálnou menou. Virtuálne meny nemajú fyzickú protihodnotu vo forme zákonného platidla a ich využívanie je na vlastné riziko zúčastnených strán, nakoľko získanie reálnych peňazí z virtuálnej meny nie je garantované. Bitcoin funguje ako distribuovaná sieť, kde sa</w:t>
      </w:r>
      <w:r>
        <w:rPr>
          <w:rFonts w:eastAsiaTheme="minorHAnsi" w:cstheme="minorBidi"/>
          <w:sz w:val="24"/>
          <w:szCs w:val="24"/>
          <w:lang w:eastAsia="en-US"/>
        </w:rPr>
        <w:t> </w:t>
      </w:r>
      <w:r w:rsidRPr="00477BD4">
        <w:rPr>
          <w:rFonts w:eastAsiaTheme="minorHAnsi" w:cstheme="minorBidi"/>
          <w:sz w:val="24"/>
          <w:szCs w:val="24"/>
          <w:lang w:eastAsia="en-US"/>
        </w:rPr>
        <w:t xml:space="preserve">transakcie šíria jednotlivými aplikáciami nainštalovanými na počítačoch užívateľov. Medzi prijímateľom a odosielateľom ale nie je banka ako štandardný medzičlánok, ani žiadna iná regulačná inštitúcia. Bitcoiny sa aktuálne už aj na území SR dajú reálne použiť na nákup tovaru a služieb. Boli zaznamenané prípady NOO – obchodovania s touto virtuálnou menou, v rámci bitcoinovej internetovej burzy, pričom v jednom prípade mohlo dôjsť k podvodnému konaniu v rámci finančného vysporiadania obchodných partnerov. Nakoľko však nebolo možné dostupnými legislatívnymi prostriedkami preveriť obchod realizovaný na virtuálnej internetovej burze a zabezpečiť tak relevantné informácie pre ďalšie posúdenie NOO, neboli tieto informácie odstúpené OČTK, ale boli v súvislosti s vyskytujúcimi sa zahraničnými subjektmi odstúpené zahraničnej, partnerskej finančnej spravodajskej jednotke (FIU), resp. uložené do </w:t>
      </w:r>
      <w:r>
        <w:rPr>
          <w:rFonts w:eastAsiaTheme="minorHAnsi" w:cstheme="minorBidi"/>
          <w:sz w:val="24"/>
          <w:szCs w:val="24"/>
          <w:lang w:eastAsia="en-US"/>
        </w:rPr>
        <w:t>komplexného informačného systému FSJ</w:t>
      </w:r>
      <w:r w:rsidRPr="00477BD4">
        <w:rPr>
          <w:rFonts w:eastAsiaTheme="minorHAnsi" w:cstheme="minorBidi"/>
          <w:sz w:val="24"/>
          <w:szCs w:val="24"/>
          <w:lang w:eastAsia="en-US"/>
        </w:rPr>
        <w:t>.</w:t>
      </w:r>
      <w:r>
        <w:rPr>
          <w:rFonts w:eastAsiaTheme="minorHAnsi" w:cstheme="minorBidi"/>
          <w:sz w:val="24"/>
          <w:szCs w:val="24"/>
          <w:lang w:eastAsia="en-US"/>
        </w:rPr>
        <w:t xml:space="preserve"> </w:t>
      </w:r>
    </w:p>
    <w:p w14:paraId="069E9FA1" w14:textId="77777777" w:rsidR="00216BD5" w:rsidRDefault="00216BD5" w:rsidP="00216BD5">
      <w:pPr>
        <w:spacing w:after="120"/>
        <w:rPr>
          <w:rFonts w:eastAsiaTheme="minorHAnsi" w:cstheme="minorBidi"/>
          <w:sz w:val="24"/>
          <w:szCs w:val="24"/>
          <w:lang w:eastAsia="en-US"/>
        </w:rPr>
      </w:pPr>
    </w:p>
    <w:p w14:paraId="0E5E941F" w14:textId="77777777" w:rsidR="00216BD5" w:rsidRDefault="00216BD5" w:rsidP="00216BD5">
      <w:pPr>
        <w:spacing w:after="120"/>
        <w:rPr>
          <w:rFonts w:eastAsiaTheme="minorHAnsi" w:cstheme="minorBidi"/>
          <w:sz w:val="24"/>
          <w:szCs w:val="24"/>
          <w:lang w:eastAsia="en-US"/>
        </w:rPr>
      </w:pPr>
    </w:p>
    <w:p w14:paraId="5D651851" w14:textId="77777777" w:rsidR="00216BD5" w:rsidRPr="00477BD4" w:rsidRDefault="00216BD5" w:rsidP="00216BD5">
      <w:pPr>
        <w:spacing w:after="120"/>
        <w:rPr>
          <w:rFonts w:eastAsiaTheme="minorHAnsi" w:cstheme="minorBidi"/>
          <w:sz w:val="24"/>
          <w:szCs w:val="24"/>
          <w:lang w:eastAsia="en-US"/>
        </w:rPr>
      </w:pPr>
    </w:p>
    <w:p w14:paraId="0A62B7F7" w14:textId="77777777" w:rsidR="00216BD5" w:rsidRPr="00477BD4" w:rsidRDefault="00216BD5" w:rsidP="00216BD5">
      <w:pPr>
        <w:pStyle w:val="Podnadpis"/>
      </w:pPr>
      <w:bookmarkStart w:id="6" w:name="_Toc412466387"/>
      <w:r w:rsidRPr="00477BD4">
        <w:lastRenderedPageBreak/>
        <w:t>2.4</w:t>
      </w:r>
      <w:r>
        <w:t xml:space="preserve"> </w:t>
      </w:r>
      <w:r w:rsidRPr="00477BD4">
        <w:t>Vybrané prípady riešenia NOO</w:t>
      </w:r>
      <w:bookmarkEnd w:id="6"/>
    </w:p>
    <w:p w14:paraId="08383EB9" w14:textId="77777777" w:rsidR="00216BD5" w:rsidRPr="00477BD4" w:rsidRDefault="00216BD5" w:rsidP="00216BD5">
      <w:pPr>
        <w:spacing w:after="120"/>
        <w:rPr>
          <w:rFonts w:eastAsiaTheme="minorHAnsi" w:cstheme="minorBidi"/>
          <w:sz w:val="24"/>
          <w:szCs w:val="24"/>
          <w:lang w:eastAsia="en-US"/>
        </w:rPr>
      </w:pPr>
    </w:p>
    <w:p w14:paraId="70CAF753"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Z hlásení o NOO,</w:t>
      </w:r>
      <w:r>
        <w:rPr>
          <w:rFonts w:eastAsiaTheme="minorHAnsi" w:cstheme="minorBidi"/>
          <w:sz w:val="24"/>
          <w:szCs w:val="24"/>
          <w:lang w:eastAsia="en-US"/>
        </w:rPr>
        <w:t xml:space="preserve"> </w:t>
      </w:r>
      <w:r w:rsidRPr="00477BD4">
        <w:rPr>
          <w:rFonts w:eastAsiaTheme="minorHAnsi" w:cstheme="minorBidi"/>
          <w:sz w:val="24"/>
          <w:szCs w:val="24"/>
          <w:lang w:eastAsia="en-US"/>
        </w:rPr>
        <w:t>prijatýc</w:t>
      </w:r>
      <w:r>
        <w:rPr>
          <w:rFonts w:eastAsiaTheme="minorHAnsi" w:cstheme="minorBidi"/>
          <w:sz w:val="24"/>
          <w:szCs w:val="24"/>
          <w:lang w:eastAsia="en-US"/>
        </w:rPr>
        <w:t>h oddelením neobvyklých obchodných operácií v roku 2014</w:t>
      </w:r>
      <w:r w:rsidRPr="00477BD4">
        <w:rPr>
          <w:rFonts w:eastAsiaTheme="minorHAnsi" w:cstheme="minorBidi"/>
          <w:sz w:val="24"/>
          <w:szCs w:val="24"/>
          <w:lang w:eastAsia="en-US"/>
        </w:rPr>
        <w:t xml:space="preserve"> možno spomenúť niektoré zaujímavé prípady, ktoré boli po preverení základných informácií, </w:t>
      </w:r>
      <w:r>
        <w:rPr>
          <w:rFonts w:eastAsiaTheme="minorHAnsi" w:cstheme="minorBidi"/>
          <w:sz w:val="24"/>
          <w:szCs w:val="24"/>
          <w:lang w:eastAsia="en-US"/>
        </w:rPr>
        <w:t xml:space="preserve">z </w:t>
      </w:r>
      <w:r w:rsidRPr="00477BD4">
        <w:rPr>
          <w:rFonts w:eastAsiaTheme="minorHAnsi" w:cstheme="minorBidi"/>
          <w:sz w:val="24"/>
          <w:szCs w:val="24"/>
          <w:lang w:eastAsia="en-US"/>
        </w:rPr>
        <w:t>dôvodu podozrenia</w:t>
      </w:r>
      <w:r>
        <w:rPr>
          <w:rFonts w:eastAsiaTheme="minorHAnsi" w:cstheme="minorBidi"/>
          <w:sz w:val="24"/>
          <w:szCs w:val="24"/>
          <w:lang w:eastAsia="en-US"/>
        </w:rPr>
        <w:t xml:space="preserve"> zo spáchania trestnej činnosti, </w:t>
      </w:r>
      <w:r w:rsidRPr="00477BD4">
        <w:rPr>
          <w:rFonts w:eastAsiaTheme="minorHAnsi" w:cstheme="minorBidi"/>
          <w:sz w:val="24"/>
          <w:szCs w:val="24"/>
          <w:lang w:eastAsia="en-US"/>
        </w:rPr>
        <w:t xml:space="preserve">odstúpené príslušným OČTK na ďalšie konanie. </w:t>
      </w:r>
    </w:p>
    <w:p w14:paraId="357F2D3B"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V jednom z prípadov povinná osoba – Banka A ohlásila ako NOO pripísanie dvoch významných platieb v celkovej sume 900.000,- EUR na novo založený účet fyzickej osoby (nepodnikateľa), z ktorého bola ešte v ten istý deň, viacerými platbami</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celá suma prevedená na ďalšie, vopred pripravené účty v slovenských bankách. Finančné prostriedky, ktoré boli prvotne pripísané na daný osobný účet pochádzali z dvoch platieb, z účtu vedeného v Banke B. Dôkladnou a maximálne profesionálnou činnosťou pracovníkov oddelenia </w:t>
      </w:r>
      <w:r>
        <w:rPr>
          <w:rFonts w:eastAsiaTheme="minorHAnsi" w:cstheme="minorBidi"/>
          <w:sz w:val="24"/>
          <w:szCs w:val="24"/>
          <w:lang w:eastAsia="en-US"/>
        </w:rPr>
        <w:t xml:space="preserve">neobvyklých obchodných operácií </w:t>
      </w:r>
      <w:r w:rsidRPr="00477BD4">
        <w:rPr>
          <w:rFonts w:eastAsiaTheme="minorHAnsi" w:cstheme="minorBidi"/>
          <w:sz w:val="24"/>
          <w:szCs w:val="24"/>
          <w:lang w:eastAsia="en-US"/>
        </w:rPr>
        <w:t>bolo za účelom zistenia pôvodu prevádzaných prostriedkov, po</w:t>
      </w:r>
      <w:r>
        <w:rPr>
          <w:rFonts w:eastAsiaTheme="minorHAnsi" w:cstheme="minorBidi"/>
          <w:sz w:val="24"/>
          <w:szCs w:val="24"/>
          <w:lang w:eastAsia="en-US"/>
        </w:rPr>
        <w:t> </w:t>
      </w:r>
      <w:r w:rsidRPr="00477BD4">
        <w:rPr>
          <w:rFonts w:eastAsiaTheme="minorHAnsi" w:cstheme="minorBidi"/>
          <w:sz w:val="24"/>
          <w:szCs w:val="24"/>
          <w:lang w:eastAsia="en-US"/>
        </w:rPr>
        <w:t>vykonaní preverovania týchto prvotných informácií zistené, že obe uvedené platby boli realizované z Banky B, pričom Banka B nezistila v ich prípade žiadnu neobvyklosť. Až</w:t>
      </w:r>
      <w:r>
        <w:rPr>
          <w:rFonts w:eastAsiaTheme="minorHAnsi" w:cstheme="minorBidi"/>
          <w:sz w:val="24"/>
          <w:szCs w:val="24"/>
          <w:lang w:eastAsia="en-US"/>
        </w:rPr>
        <w:t> </w:t>
      </w:r>
      <w:r w:rsidRPr="00477BD4">
        <w:rPr>
          <w:rFonts w:eastAsiaTheme="minorHAnsi" w:cstheme="minorBidi"/>
          <w:sz w:val="24"/>
          <w:szCs w:val="24"/>
          <w:lang w:eastAsia="en-US"/>
        </w:rPr>
        <w:t>podrobnejším šetrením v banke B bolo zistené, že išlo o prostriedky, ktoré pracovníčka Banky B podvodným spôsobom odčerpala dvom klientom banky z ich účtov, bez ich vedomia. Po analýze a vyhodnotení zabezpečených informácií, z dôvodu podozrenia zo</w:t>
      </w:r>
      <w:r>
        <w:rPr>
          <w:rFonts w:eastAsiaTheme="minorHAnsi" w:cstheme="minorBidi"/>
          <w:sz w:val="24"/>
          <w:szCs w:val="24"/>
          <w:lang w:eastAsia="en-US"/>
        </w:rPr>
        <w:t> </w:t>
      </w:r>
      <w:r w:rsidRPr="00477BD4">
        <w:rPr>
          <w:rFonts w:eastAsiaTheme="minorHAnsi" w:cstheme="minorBidi"/>
          <w:sz w:val="24"/>
          <w:szCs w:val="24"/>
          <w:lang w:eastAsia="en-US"/>
        </w:rPr>
        <w:t xml:space="preserve">spáchania trestného činu, odstúpilo oddelenie </w:t>
      </w:r>
      <w:r>
        <w:rPr>
          <w:rFonts w:eastAsiaTheme="minorHAnsi" w:cstheme="minorBidi"/>
          <w:sz w:val="24"/>
          <w:szCs w:val="24"/>
          <w:lang w:eastAsia="en-US"/>
        </w:rPr>
        <w:t>neobvyklých obchodných operácií</w:t>
      </w:r>
      <w:r w:rsidRPr="00477BD4">
        <w:rPr>
          <w:rFonts w:eastAsiaTheme="minorHAnsi" w:cstheme="minorBidi"/>
          <w:sz w:val="24"/>
          <w:szCs w:val="24"/>
          <w:lang w:eastAsia="en-US"/>
        </w:rPr>
        <w:t xml:space="preserve"> uvedenú informáciu príslušnému OČTK. Na základe tejto informácie príslušný OČTK v zmysle § 199 ods. 1 Trestného poriadku začal trestné stíhanie vo veci obzvlášť závažného zločinu</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porušovania povinností pri správe cudzieho majetku podľa § 237 </w:t>
      </w:r>
      <w:r>
        <w:rPr>
          <w:rFonts w:eastAsiaTheme="minorHAnsi" w:cstheme="minorBidi"/>
          <w:sz w:val="24"/>
          <w:szCs w:val="24"/>
          <w:lang w:eastAsia="en-US"/>
        </w:rPr>
        <w:t xml:space="preserve">ods. 1 ods. 4 písm. a) </w:t>
      </w:r>
      <w:r w:rsidRPr="00477BD4">
        <w:rPr>
          <w:rFonts w:eastAsiaTheme="minorHAnsi" w:cstheme="minorBidi"/>
          <w:sz w:val="24"/>
          <w:szCs w:val="24"/>
          <w:lang w:eastAsia="en-US"/>
        </w:rPr>
        <w:t>Trestného zákona,</w:t>
      </w:r>
      <w:r>
        <w:rPr>
          <w:rFonts w:eastAsiaTheme="minorHAnsi" w:cstheme="minorBidi"/>
          <w:sz w:val="24"/>
          <w:szCs w:val="24"/>
          <w:lang w:eastAsia="en-US"/>
        </w:rPr>
        <w:t xml:space="preserve"> </w:t>
      </w:r>
      <w:r w:rsidRPr="00477BD4">
        <w:rPr>
          <w:rFonts w:eastAsiaTheme="minorHAnsi" w:cstheme="minorBidi"/>
          <w:sz w:val="24"/>
          <w:szCs w:val="24"/>
          <w:lang w:eastAsia="en-US"/>
        </w:rPr>
        <w:t>s výškou spôsobenej škody 900.000,- EUR. Krátko po začatí trestného stíhania, vykonaní zaisťovacích úkonov, počas ktorých bola</w:t>
      </w:r>
      <w:r>
        <w:rPr>
          <w:rFonts w:eastAsiaTheme="minorHAnsi" w:cstheme="minorBidi"/>
          <w:sz w:val="24"/>
          <w:szCs w:val="24"/>
          <w:lang w:eastAsia="en-US"/>
        </w:rPr>
        <w:t xml:space="preserve"> </w:t>
      </w:r>
      <w:r w:rsidRPr="00477BD4">
        <w:rPr>
          <w:rFonts w:eastAsiaTheme="minorHAnsi" w:cstheme="minorBidi"/>
          <w:sz w:val="24"/>
          <w:szCs w:val="24"/>
          <w:lang w:eastAsia="en-US"/>
        </w:rPr>
        <w:t>časť finančných prostriedkov v celkovej výške 459.455,- EUR zaistená a po zadovážení potrebných dôkazov bolo príslušným vyšetrovateľom vznesené obvinenie celkovo 4 osobám, ktoré sa podieľali na</w:t>
      </w:r>
      <w:r>
        <w:rPr>
          <w:rFonts w:eastAsiaTheme="minorHAnsi" w:cstheme="minorBidi"/>
          <w:sz w:val="24"/>
          <w:szCs w:val="24"/>
          <w:lang w:eastAsia="en-US"/>
        </w:rPr>
        <w:t> </w:t>
      </w:r>
      <w:r w:rsidRPr="00477BD4">
        <w:rPr>
          <w:rFonts w:eastAsiaTheme="minorHAnsi" w:cstheme="minorBidi"/>
          <w:sz w:val="24"/>
          <w:szCs w:val="24"/>
          <w:lang w:eastAsia="en-US"/>
        </w:rPr>
        <w:t>uvedenej trestnej činnosti. Tieto osoby</w:t>
      </w:r>
      <w:r>
        <w:rPr>
          <w:rFonts w:eastAsiaTheme="minorHAnsi" w:cstheme="minorBidi"/>
          <w:sz w:val="24"/>
          <w:szCs w:val="24"/>
          <w:lang w:eastAsia="en-US"/>
        </w:rPr>
        <w:t xml:space="preserve"> </w:t>
      </w:r>
      <w:r w:rsidRPr="00477BD4">
        <w:rPr>
          <w:rFonts w:eastAsiaTheme="minorHAnsi" w:cstheme="minorBidi"/>
          <w:sz w:val="24"/>
          <w:szCs w:val="24"/>
          <w:lang w:eastAsia="en-US"/>
        </w:rPr>
        <w:t>boli následne po ich zadržaní, na základe rozhodnutia príslušného súdu (potvrdené aj rozhodnutím odvolacieho súdu) vzaté do</w:t>
      </w:r>
      <w:r>
        <w:rPr>
          <w:rFonts w:eastAsiaTheme="minorHAnsi" w:cstheme="minorBidi"/>
          <w:sz w:val="24"/>
          <w:szCs w:val="24"/>
          <w:lang w:eastAsia="en-US"/>
        </w:rPr>
        <w:t> </w:t>
      </w:r>
      <w:r w:rsidRPr="00477BD4">
        <w:rPr>
          <w:rFonts w:eastAsiaTheme="minorHAnsi" w:cstheme="minorBidi"/>
          <w:sz w:val="24"/>
          <w:szCs w:val="24"/>
          <w:lang w:eastAsia="en-US"/>
        </w:rPr>
        <w:t>vyšetrovacej väzby. Okrem obzvlášť závažného zločinu porušovania povinností pri správe cudzieho majetku boli 3 z uvedených osôb obvinené aj z obzvlášť závažného zločinu legalizácie príjmu z trestnej činnosti podľa § 233</w:t>
      </w:r>
      <w:r>
        <w:rPr>
          <w:rFonts w:eastAsiaTheme="minorHAnsi" w:cstheme="minorBidi"/>
          <w:sz w:val="24"/>
          <w:szCs w:val="24"/>
          <w:lang w:eastAsia="en-US"/>
        </w:rPr>
        <w:t xml:space="preserve"> ods. 1 písm. a), b) ods. 3 písm. c), ods. 4 písm. a)</w:t>
      </w:r>
      <w:r w:rsidRPr="00477BD4">
        <w:rPr>
          <w:rFonts w:eastAsiaTheme="minorHAnsi" w:cstheme="minorBidi"/>
          <w:sz w:val="24"/>
          <w:szCs w:val="24"/>
          <w:lang w:eastAsia="en-US"/>
        </w:rPr>
        <w:t xml:space="preserve"> Trestného zákona,</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spáchaného organizovanou skupinou. </w:t>
      </w:r>
    </w:p>
    <w:p w14:paraId="6AF6F07F" w14:textId="77777777" w:rsidR="00216BD5"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Medzi ďalšie zaujímavé prípady NOO možno zaradiť aj tie, kde v spojení s viacerými</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koordinovanými phishingovými útokmi na bankové účty, ktorých majiteľmi boli menšie slovenské obce, došlo k prevodu peňažných prostriedkov z týchto bankových účtov. Finančné prostriedky boli následne z týchto účtov obcí prevedené na viaceré, vopred pripravené osobné účty a z týchto boli vyberané v hotovosti v zahraničí platobnou kartou z bankomatu, alebo boli ihneď prevedené na ďalšie pripravené účty v zahraničí. Tieto prípady vykazovali spoločné znaky, ktoré naznačovali, že tieto prípady (phishingy) boli pravdepodobne koordinované. Išlo o tieto spoločné znaky: </w:t>
      </w:r>
    </w:p>
    <w:p w14:paraId="1E751D98" w14:textId="77777777" w:rsidR="00216BD5" w:rsidRPr="00477BD4" w:rsidRDefault="00216BD5" w:rsidP="00216BD5">
      <w:pPr>
        <w:spacing w:after="120"/>
        <w:rPr>
          <w:rFonts w:eastAsiaTheme="minorHAnsi" w:cstheme="minorBidi"/>
          <w:sz w:val="24"/>
          <w:szCs w:val="24"/>
          <w:lang w:eastAsia="en-US"/>
        </w:rPr>
      </w:pPr>
    </w:p>
    <w:p w14:paraId="0DFD0173" w14:textId="77777777" w:rsidR="00216BD5" w:rsidRPr="00477BD4" w:rsidRDefault="00216BD5" w:rsidP="00216BD5">
      <w:pPr>
        <w:numPr>
          <w:ilvl w:val="0"/>
          <w:numId w:val="2"/>
        </w:numPr>
        <w:spacing w:after="240" w:line="360" w:lineRule="auto"/>
        <w:ind w:left="714" w:hanging="357"/>
        <w:contextualSpacing/>
        <w:jc w:val="left"/>
        <w:rPr>
          <w:rFonts w:eastAsiaTheme="minorHAnsi" w:cstheme="minorBidi"/>
          <w:sz w:val="24"/>
          <w:szCs w:val="24"/>
          <w:lang w:eastAsia="en-US"/>
        </w:rPr>
      </w:pPr>
      <w:r w:rsidRPr="00477BD4">
        <w:rPr>
          <w:rFonts w:eastAsiaTheme="minorHAnsi" w:cstheme="minorBidi"/>
          <w:sz w:val="24"/>
          <w:szCs w:val="24"/>
          <w:lang w:eastAsia="en-US"/>
        </w:rPr>
        <w:t>všetky útoky phishingov boli nasmerované na účty menších slovenských obcí,</w:t>
      </w:r>
    </w:p>
    <w:p w14:paraId="3E2D5937" w14:textId="77777777" w:rsidR="00216BD5" w:rsidRPr="00477BD4" w:rsidRDefault="00216BD5" w:rsidP="00216BD5">
      <w:pPr>
        <w:numPr>
          <w:ilvl w:val="0"/>
          <w:numId w:val="2"/>
        </w:numPr>
        <w:spacing w:after="240" w:line="360" w:lineRule="auto"/>
        <w:ind w:left="714" w:hanging="357"/>
        <w:contextualSpacing/>
        <w:jc w:val="left"/>
        <w:rPr>
          <w:rFonts w:eastAsiaTheme="minorHAnsi" w:cstheme="minorBidi"/>
          <w:sz w:val="24"/>
          <w:szCs w:val="24"/>
          <w:lang w:eastAsia="en-US"/>
        </w:rPr>
      </w:pPr>
      <w:r w:rsidRPr="00477BD4">
        <w:rPr>
          <w:rFonts w:eastAsiaTheme="minorHAnsi" w:cstheme="minorBidi"/>
          <w:sz w:val="24"/>
          <w:szCs w:val="24"/>
          <w:lang w:eastAsia="en-US"/>
        </w:rPr>
        <w:t>všetky atakované účty boli vedené v jednej banke,</w:t>
      </w:r>
    </w:p>
    <w:p w14:paraId="6CC474E9" w14:textId="77777777" w:rsidR="00216BD5" w:rsidRPr="00477BD4" w:rsidRDefault="00216BD5" w:rsidP="00216BD5">
      <w:pPr>
        <w:numPr>
          <w:ilvl w:val="0"/>
          <w:numId w:val="2"/>
        </w:numPr>
        <w:spacing w:after="240" w:line="360" w:lineRule="auto"/>
        <w:ind w:left="714" w:hanging="357"/>
        <w:contextualSpacing/>
        <w:jc w:val="left"/>
        <w:rPr>
          <w:rFonts w:eastAsiaTheme="minorHAnsi" w:cstheme="minorBidi"/>
          <w:sz w:val="24"/>
          <w:szCs w:val="24"/>
          <w:lang w:eastAsia="en-US"/>
        </w:rPr>
      </w:pPr>
      <w:r w:rsidRPr="00477BD4">
        <w:rPr>
          <w:rFonts w:eastAsiaTheme="minorHAnsi" w:cstheme="minorBidi"/>
          <w:sz w:val="24"/>
          <w:szCs w:val="24"/>
          <w:lang w:eastAsia="en-US"/>
        </w:rPr>
        <w:t>všetky účty, na ktoré boli po phishingu prevádzané finančné prostriedky pochádzajúce z trestnej činnosti a na ktorých týmto dochádzalo k umiestneniu príjmu z trestnej činnosti, boli vedené v inej banke v SR,</w:t>
      </w:r>
    </w:p>
    <w:p w14:paraId="47C5F7FE" w14:textId="77777777" w:rsidR="00216BD5" w:rsidRPr="008F55CF" w:rsidRDefault="00216BD5" w:rsidP="00216BD5">
      <w:pPr>
        <w:numPr>
          <w:ilvl w:val="0"/>
          <w:numId w:val="2"/>
        </w:numPr>
        <w:spacing w:after="240" w:line="360" w:lineRule="auto"/>
        <w:ind w:left="714" w:hanging="357"/>
        <w:contextualSpacing/>
        <w:jc w:val="left"/>
        <w:rPr>
          <w:rFonts w:eastAsiaTheme="minorHAnsi" w:cstheme="minorBidi"/>
          <w:sz w:val="24"/>
          <w:szCs w:val="24"/>
          <w:lang w:eastAsia="en-US"/>
        </w:rPr>
      </w:pPr>
      <w:r w:rsidRPr="00477BD4">
        <w:rPr>
          <w:rFonts w:eastAsiaTheme="minorHAnsi" w:cstheme="minorBidi"/>
          <w:sz w:val="24"/>
          <w:szCs w:val="24"/>
          <w:lang w:eastAsia="en-US"/>
        </w:rPr>
        <w:lastRenderedPageBreak/>
        <w:t>majiteľmi účtov vo všetkých prípadoch phishingov, na ktorých dochádzalo k umiestňovaniu príjmu z trestného činu, boli tie isté osoby</w:t>
      </w:r>
      <w:r>
        <w:rPr>
          <w:rFonts w:eastAsiaTheme="minorHAnsi" w:cstheme="minorBidi"/>
          <w:sz w:val="24"/>
          <w:szCs w:val="24"/>
          <w:lang w:eastAsia="en-US"/>
        </w:rPr>
        <w:t>.</w:t>
      </w:r>
    </w:p>
    <w:p w14:paraId="10C7B3F4" w14:textId="77777777" w:rsidR="00216BD5" w:rsidRDefault="00216BD5" w:rsidP="00216BD5">
      <w:pPr>
        <w:spacing w:after="120"/>
        <w:ind w:left="720"/>
        <w:contextualSpacing/>
        <w:rPr>
          <w:rFonts w:eastAsiaTheme="minorHAnsi" w:cstheme="minorBidi"/>
          <w:sz w:val="24"/>
          <w:szCs w:val="24"/>
          <w:lang w:eastAsia="en-US"/>
        </w:rPr>
      </w:pPr>
    </w:p>
    <w:p w14:paraId="584F4199" w14:textId="77777777" w:rsidR="00216BD5" w:rsidRPr="00477BD4" w:rsidRDefault="00216BD5" w:rsidP="00216BD5">
      <w:pPr>
        <w:spacing w:after="160" w:line="283" w:lineRule="auto"/>
        <w:ind w:firstLine="357"/>
        <w:contextualSpacing/>
        <w:rPr>
          <w:rFonts w:eastAsiaTheme="minorHAnsi" w:cstheme="minorBidi"/>
          <w:sz w:val="24"/>
          <w:szCs w:val="24"/>
          <w:lang w:eastAsia="en-US"/>
        </w:rPr>
      </w:pPr>
      <w:r>
        <w:rPr>
          <w:rFonts w:eastAsiaTheme="minorHAnsi" w:cstheme="minorBidi"/>
          <w:sz w:val="24"/>
          <w:szCs w:val="24"/>
          <w:lang w:eastAsia="en-US"/>
        </w:rPr>
        <w:tab/>
      </w:r>
      <w:r w:rsidRPr="00477BD4">
        <w:rPr>
          <w:rFonts w:eastAsiaTheme="minorHAnsi" w:cstheme="minorBidi"/>
          <w:sz w:val="24"/>
          <w:szCs w:val="24"/>
          <w:lang w:eastAsia="en-US"/>
        </w:rPr>
        <w:t xml:space="preserve">V týchto spomenutých prípadoch boli zo strany oddelenia </w:t>
      </w:r>
      <w:r>
        <w:rPr>
          <w:rFonts w:eastAsiaTheme="minorHAnsi" w:cstheme="minorBidi"/>
          <w:sz w:val="24"/>
          <w:szCs w:val="24"/>
          <w:lang w:eastAsia="en-US"/>
        </w:rPr>
        <w:t>neobvyklých obchodných operácií</w:t>
      </w:r>
      <w:r w:rsidRPr="00477BD4">
        <w:rPr>
          <w:rFonts w:eastAsiaTheme="minorHAnsi" w:cstheme="minorBidi"/>
          <w:sz w:val="24"/>
          <w:szCs w:val="24"/>
          <w:lang w:eastAsia="en-US"/>
        </w:rPr>
        <w:t xml:space="preserve"> iniciované a následne vykonané dve zdržania NOO, na základe ktorých príslušné OČTK v zmysle § 199 ods. 1 Trestného poriadku začali trestné stíhanie vo veci </w:t>
      </w:r>
      <w:r w:rsidRPr="00447600">
        <w:rPr>
          <w:rFonts w:eastAsiaTheme="minorHAnsi" w:cstheme="minorBidi"/>
          <w:sz w:val="24"/>
          <w:szCs w:val="24"/>
          <w:lang w:eastAsia="en-US"/>
        </w:rPr>
        <w:t xml:space="preserve">trestného činu </w:t>
      </w:r>
      <w:r w:rsidRPr="00E57E3C">
        <w:rPr>
          <w:rFonts w:eastAsiaTheme="minorHAnsi" w:cstheme="minorBidi"/>
          <w:sz w:val="24"/>
          <w:szCs w:val="24"/>
          <w:lang w:eastAsia="en-US"/>
        </w:rPr>
        <w:t xml:space="preserve">podvodu podľa § 221 Trestného zákona, </w:t>
      </w:r>
      <w:r w:rsidRPr="00477BD4">
        <w:rPr>
          <w:rFonts w:eastAsiaTheme="minorHAnsi" w:cstheme="minorBidi"/>
          <w:sz w:val="24"/>
          <w:szCs w:val="24"/>
          <w:lang w:eastAsia="en-US"/>
        </w:rPr>
        <w:t xml:space="preserve">so spôsobenou škodou vo výške 342.630,- EUR a zaistili časť finančných prostriedkov na účtoch podozrivých osôb v celkovej výške 87.015,- EUR. </w:t>
      </w:r>
    </w:p>
    <w:p w14:paraId="73947FFE" w14:textId="77777777" w:rsidR="00216BD5" w:rsidRPr="00477BD4"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t xml:space="preserve"> </w:t>
      </w:r>
    </w:p>
    <w:p w14:paraId="22FF2551" w14:textId="77777777" w:rsidR="00216BD5" w:rsidRPr="00477BD4" w:rsidRDefault="00216BD5" w:rsidP="00216BD5">
      <w:pPr>
        <w:pStyle w:val="Podnadpis"/>
      </w:pPr>
      <w:bookmarkStart w:id="7" w:name="_Toc412466388"/>
      <w:r w:rsidRPr="00477BD4">
        <w:t>2.</w:t>
      </w:r>
      <w:r>
        <w:t xml:space="preserve">5 </w:t>
      </w:r>
      <w:r w:rsidRPr="00477BD4">
        <w:t>Účinnosť hlásení o NOO</w:t>
      </w:r>
      <w:bookmarkEnd w:id="7"/>
    </w:p>
    <w:p w14:paraId="31475970" w14:textId="77777777" w:rsidR="00216BD5" w:rsidRDefault="00216BD5" w:rsidP="00216BD5">
      <w:pPr>
        <w:spacing w:after="120"/>
        <w:contextualSpacing/>
        <w:rPr>
          <w:rFonts w:eastAsiaTheme="minorHAnsi" w:cstheme="minorBidi"/>
          <w:sz w:val="24"/>
          <w:szCs w:val="24"/>
          <w:lang w:eastAsia="en-US"/>
        </w:rPr>
      </w:pPr>
    </w:p>
    <w:p w14:paraId="193EDC55" w14:textId="77777777" w:rsidR="00216BD5" w:rsidRDefault="00216BD5" w:rsidP="00216BD5">
      <w:pPr>
        <w:spacing w:after="160" w:line="259" w:lineRule="auto"/>
        <w:rPr>
          <w:rFonts w:eastAsiaTheme="minorHAnsi" w:cstheme="minorBidi"/>
          <w:sz w:val="24"/>
          <w:szCs w:val="22"/>
          <w:lang w:eastAsia="en-US"/>
        </w:rPr>
      </w:pPr>
      <w:r>
        <w:rPr>
          <w:rFonts w:eastAsiaTheme="minorHAnsi" w:cstheme="minorBidi"/>
          <w:sz w:val="24"/>
          <w:szCs w:val="22"/>
          <w:lang w:eastAsia="en-US"/>
        </w:rPr>
        <w:tab/>
        <w:t>Ustanovenie § 27 zákona o ochrane pred legalizáciou ukladá FSJ povinnosť viesť súhrnné štatistické údaje s vymedzením minimálneho rámca povinne sledovaných štatistických ukazovateľov.</w:t>
      </w:r>
      <w:r w:rsidRPr="00477BD4">
        <w:rPr>
          <w:rFonts w:eastAsiaTheme="minorHAnsi" w:cstheme="minorBidi"/>
          <w:sz w:val="24"/>
          <w:szCs w:val="22"/>
          <w:lang w:eastAsia="en-US"/>
        </w:rPr>
        <w:tab/>
      </w:r>
    </w:p>
    <w:p w14:paraId="1B9756AA" w14:textId="77777777" w:rsidR="00216BD5" w:rsidRDefault="00216BD5" w:rsidP="00216BD5">
      <w:pPr>
        <w:spacing w:after="160" w:line="259" w:lineRule="auto"/>
        <w:ind w:firstLine="708"/>
        <w:rPr>
          <w:rFonts w:eastAsiaTheme="minorHAnsi" w:cstheme="minorBidi"/>
          <w:sz w:val="24"/>
          <w:szCs w:val="22"/>
          <w:lang w:eastAsia="en-US"/>
        </w:rPr>
      </w:pPr>
      <w:r w:rsidRPr="00477BD4">
        <w:rPr>
          <w:rFonts w:eastAsiaTheme="minorHAnsi" w:cstheme="minorBidi"/>
          <w:sz w:val="24"/>
          <w:szCs w:val="22"/>
          <w:lang w:eastAsia="en-US"/>
        </w:rPr>
        <w:t xml:space="preserve">Z celkového počtu 3928 prijatých hlásení o NOO v roku 2014 bolo do </w:t>
      </w:r>
      <w:r>
        <w:rPr>
          <w:rFonts w:eastAsiaTheme="minorHAnsi" w:cstheme="minorBidi"/>
          <w:sz w:val="24"/>
          <w:szCs w:val="22"/>
          <w:lang w:eastAsia="en-US"/>
        </w:rPr>
        <w:t>komplexného informačného systému</w:t>
      </w:r>
      <w:r w:rsidRPr="00477BD4">
        <w:rPr>
          <w:rFonts w:eastAsiaTheme="minorHAnsi" w:cstheme="minorBidi"/>
          <w:sz w:val="24"/>
          <w:szCs w:val="22"/>
          <w:lang w:eastAsia="en-US"/>
        </w:rPr>
        <w:t xml:space="preserve"> FSJ pre prípadné ďalšie využitie</w:t>
      </w:r>
      <w:r>
        <w:rPr>
          <w:rFonts w:eastAsiaTheme="minorHAnsi" w:cstheme="minorBidi"/>
          <w:sz w:val="24"/>
          <w:szCs w:val="22"/>
          <w:lang w:eastAsia="en-US"/>
        </w:rPr>
        <w:t xml:space="preserve"> </w:t>
      </w:r>
      <w:r w:rsidRPr="00477BD4">
        <w:rPr>
          <w:rFonts w:eastAsiaTheme="minorHAnsi" w:cstheme="minorBidi"/>
          <w:sz w:val="24"/>
          <w:szCs w:val="22"/>
          <w:lang w:eastAsia="en-US"/>
        </w:rPr>
        <w:t>založených 1392 informácií. Po</w:t>
      </w:r>
      <w:r>
        <w:rPr>
          <w:rFonts w:eastAsiaTheme="minorHAnsi" w:cstheme="minorBidi"/>
          <w:sz w:val="24"/>
          <w:szCs w:val="22"/>
          <w:lang w:eastAsia="en-US"/>
        </w:rPr>
        <w:t> </w:t>
      </w:r>
      <w:r w:rsidRPr="00477BD4">
        <w:rPr>
          <w:rFonts w:eastAsiaTheme="minorHAnsi" w:cstheme="minorBidi"/>
          <w:sz w:val="24"/>
          <w:szCs w:val="22"/>
          <w:lang w:eastAsia="en-US"/>
        </w:rPr>
        <w:t>dôslednej analýze prijatých hlásení o NOO, spracovaní a následnom vyhodnotení, s ohľadom na zistené skutočnosti, ktoré sú, resp. môžu byť</w:t>
      </w:r>
      <w:r>
        <w:rPr>
          <w:rFonts w:eastAsiaTheme="minorHAnsi" w:cstheme="minorBidi"/>
          <w:sz w:val="24"/>
          <w:szCs w:val="22"/>
          <w:lang w:eastAsia="en-US"/>
        </w:rPr>
        <w:t xml:space="preserve"> </w:t>
      </w:r>
      <w:r w:rsidRPr="00477BD4">
        <w:rPr>
          <w:rFonts w:eastAsiaTheme="minorHAnsi" w:cstheme="minorBidi"/>
          <w:sz w:val="24"/>
          <w:szCs w:val="22"/>
          <w:lang w:eastAsia="en-US"/>
        </w:rPr>
        <w:t xml:space="preserve">relevantné pre konkrétne subjekty, FSJ poskytla: </w:t>
      </w:r>
    </w:p>
    <w:p w14:paraId="17E46A90" w14:textId="77777777" w:rsidR="00216BD5" w:rsidRPr="00477BD4" w:rsidRDefault="00216BD5" w:rsidP="00216BD5">
      <w:pPr>
        <w:spacing w:after="160" w:line="259" w:lineRule="auto"/>
        <w:ind w:firstLine="708"/>
        <w:rPr>
          <w:rFonts w:eastAsiaTheme="minorHAnsi" w:cstheme="minorBidi"/>
          <w:sz w:val="24"/>
          <w:szCs w:val="22"/>
          <w:lang w:eastAsia="en-US"/>
        </w:rPr>
      </w:pPr>
    </w:p>
    <w:p w14:paraId="30D8CFA2" w14:textId="77777777" w:rsidR="00216BD5" w:rsidRPr="00477BD4" w:rsidRDefault="00216BD5" w:rsidP="00216BD5">
      <w:pPr>
        <w:numPr>
          <w:ilvl w:val="0"/>
          <w:numId w:val="4"/>
        </w:numPr>
        <w:spacing w:after="160" w:line="360" w:lineRule="auto"/>
        <w:contextualSpacing/>
        <w:jc w:val="left"/>
        <w:rPr>
          <w:rFonts w:eastAsiaTheme="minorHAnsi" w:cstheme="minorBidi"/>
          <w:sz w:val="24"/>
          <w:szCs w:val="22"/>
          <w:lang w:eastAsia="en-US"/>
        </w:rPr>
      </w:pPr>
      <w:r w:rsidRPr="00477BD4">
        <w:rPr>
          <w:rFonts w:eastAsiaTheme="minorHAnsi" w:cstheme="minorBidi"/>
          <w:sz w:val="24"/>
          <w:szCs w:val="22"/>
          <w:lang w:eastAsia="en-US"/>
        </w:rPr>
        <w:t xml:space="preserve">OČTK 407 informácií, </w:t>
      </w:r>
    </w:p>
    <w:p w14:paraId="08A251F9" w14:textId="77777777" w:rsidR="00216BD5" w:rsidRPr="00477BD4" w:rsidRDefault="00216BD5" w:rsidP="00216BD5">
      <w:pPr>
        <w:numPr>
          <w:ilvl w:val="0"/>
          <w:numId w:val="4"/>
        </w:numPr>
        <w:spacing w:after="160" w:line="360" w:lineRule="auto"/>
        <w:contextualSpacing/>
        <w:jc w:val="left"/>
        <w:rPr>
          <w:rFonts w:eastAsiaTheme="minorHAnsi" w:cstheme="minorBidi"/>
          <w:sz w:val="24"/>
          <w:szCs w:val="22"/>
          <w:lang w:eastAsia="en-US"/>
        </w:rPr>
      </w:pPr>
      <w:r w:rsidRPr="00477BD4">
        <w:rPr>
          <w:rFonts w:eastAsiaTheme="minorHAnsi" w:cstheme="minorBidi"/>
          <w:sz w:val="24"/>
          <w:szCs w:val="22"/>
          <w:lang w:eastAsia="en-US"/>
        </w:rPr>
        <w:t xml:space="preserve">národným jednotkám </w:t>
      </w:r>
      <w:r>
        <w:rPr>
          <w:rFonts w:eastAsiaTheme="minorHAnsi" w:cstheme="minorBidi"/>
          <w:sz w:val="24"/>
          <w:szCs w:val="22"/>
          <w:lang w:eastAsia="en-US"/>
        </w:rPr>
        <w:t xml:space="preserve">národnej kriminálnej agentúry </w:t>
      </w:r>
      <w:r w:rsidRPr="00477BD4">
        <w:rPr>
          <w:rFonts w:eastAsiaTheme="minorHAnsi" w:cstheme="minorBidi"/>
          <w:sz w:val="24"/>
          <w:szCs w:val="22"/>
          <w:lang w:eastAsia="en-US"/>
        </w:rPr>
        <w:t>328 informácií,</w:t>
      </w:r>
    </w:p>
    <w:p w14:paraId="562F61F2" w14:textId="77777777" w:rsidR="00216BD5" w:rsidRPr="00477BD4" w:rsidRDefault="00216BD5" w:rsidP="00216BD5">
      <w:pPr>
        <w:numPr>
          <w:ilvl w:val="0"/>
          <w:numId w:val="4"/>
        </w:numPr>
        <w:spacing w:after="160" w:line="360" w:lineRule="auto"/>
        <w:contextualSpacing/>
        <w:jc w:val="left"/>
        <w:rPr>
          <w:rFonts w:eastAsiaTheme="minorHAnsi" w:cstheme="minorBidi"/>
          <w:sz w:val="24"/>
          <w:szCs w:val="22"/>
          <w:lang w:eastAsia="en-US"/>
        </w:rPr>
      </w:pPr>
      <w:r>
        <w:rPr>
          <w:rFonts w:eastAsiaTheme="minorHAnsi" w:cstheme="minorBidi"/>
          <w:sz w:val="24"/>
          <w:szCs w:val="22"/>
          <w:lang w:eastAsia="en-US"/>
        </w:rPr>
        <w:t xml:space="preserve">finančnej správe </w:t>
      </w:r>
      <w:r w:rsidRPr="00477BD4">
        <w:rPr>
          <w:rFonts w:eastAsiaTheme="minorHAnsi" w:cstheme="minorBidi"/>
          <w:sz w:val="24"/>
          <w:szCs w:val="22"/>
          <w:lang w:eastAsia="en-US"/>
        </w:rPr>
        <w:t>1551 informácií,</w:t>
      </w:r>
    </w:p>
    <w:p w14:paraId="72CD6C5C" w14:textId="77777777" w:rsidR="00216BD5" w:rsidRDefault="00216BD5" w:rsidP="00216BD5">
      <w:pPr>
        <w:numPr>
          <w:ilvl w:val="0"/>
          <w:numId w:val="4"/>
        </w:numPr>
        <w:spacing w:after="160" w:line="360" w:lineRule="auto"/>
        <w:contextualSpacing/>
        <w:jc w:val="left"/>
        <w:rPr>
          <w:rFonts w:eastAsiaTheme="minorHAnsi" w:cstheme="minorBidi"/>
          <w:sz w:val="24"/>
          <w:szCs w:val="22"/>
          <w:lang w:eastAsia="en-US"/>
        </w:rPr>
      </w:pPr>
      <w:r w:rsidRPr="00477BD4">
        <w:rPr>
          <w:rFonts w:eastAsiaTheme="minorHAnsi" w:cstheme="minorBidi"/>
          <w:sz w:val="24"/>
          <w:szCs w:val="22"/>
          <w:lang w:eastAsia="en-US"/>
        </w:rPr>
        <w:t>oddeleniu kontroly povinných osôb 2 informácie,</w:t>
      </w:r>
    </w:p>
    <w:p w14:paraId="4DC2F165" w14:textId="77777777" w:rsidR="00216BD5" w:rsidRDefault="00216BD5" w:rsidP="00216BD5">
      <w:pPr>
        <w:numPr>
          <w:ilvl w:val="0"/>
          <w:numId w:val="4"/>
        </w:numPr>
        <w:spacing w:after="160" w:line="360" w:lineRule="auto"/>
        <w:contextualSpacing/>
        <w:jc w:val="left"/>
        <w:rPr>
          <w:rFonts w:eastAsiaTheme="minorHAnsi" w:cstheme="minorBidi"/>
          <w:sz w:val="24"/>
          <w:szCs w:val="22"/>
          <w:lang w:eastAsia="en-US"/>
        </w:rPr>
      </w:pPr>
      <w:r>
        <w:rPr>
          <w:rFonts w:eastAsiaTheme="minorHAnsi" w:cstheme="minorBidi"/>
          <w:sz w:val="24"/>
          <w:szCs w:val="22"/>
          <w:lang w:eastAsia="en-US"/>
        </w:rPr>
        <w:t>oddeleniu preverovania majetku 1 informácia,</w:t>
      </w:r>
    </w:p>
    <w:p w14:paraId="4AB37FCA" w14:textId="77777777" w:rsidR="00216BD5" w:rsidRPr="00477BD4" w:rsidRDefault="00216BD5" w:rsidP="00216BD5">
      <w:pPr>
        <w:numPr>
          <w:ilvl w:val="0"/>
          <w:numId w:val="4"/>
        </w:numPr>
        <w:spacing w:after="160" w:line="360" w:lineRule="auto"/>
        <w:contextualSpacing/>
        <w:jc w:val="left"/>
        <w:rPr>
          <w:rFonts w:eastAsiaTheme="minorHAnsi" w:cstheme="minorBidi"/>
          <w:sz w:val="24"/>
          <w:szCs w:val="22"/>
          <w:lang w:eastAsia="en-US"/>
        </w:rPr>
      </w:pPr>
      <w:r w:rsidRPr="00477BD4">
        <w:rPr>
          <w:rFonts w:eastAsiaTheme="minorHAnsi" w:cstheme="minorBidi"/>
          <w:sz w:val="24"/>
          <w:szCs w:val="22"/>
          <w:lang w:eastAsia="en-US"/>
        </w:rPr>
        <w:t>zahraničným FIU 482 informácií,</w:t>
      </w:r>
    </w:p>
    <w:p w14:paraId="633A48E3" w14:textId="77777777" w:rsidR="00216BD5" w:rsidRPr="00477BD4" w:rsidRDefault="00216BD5" w:rsidP="00216BD5">
      <w:pPr>
        <w:numPr>
          <w:ilvl w:val="0"/>
          <w:numId w:val="4"/>
        </w:numPr>
        <w:spacing w:after="160" w:line="360" w:lineRule="auto"/>
        <w:contextualSpacing/>
        <w:jc w:val="left"/>
        <w:rPr>
          <w:rFonts w:eastAsiaTheme="minorHAnsi" w:cstheme="minorBidi"/>
          <w:sz w:val="24"/>
          <w:szCs w:val="22"/>
          <w:lang w:eastAsia="en-US"/>
        </w:rPr>
      </w:pPr>
      <w:r>
        <w:rPr>
          <w:rFonts w:eastAsiaTheme="minorHAnsi" w:cstheme="minorBidi"/>
          <w:sz w:val="24"/>
          <w:szCs w:val="22"/>
          <w:lang w:eastAsia="en-US"/>
        </w:rPr>
        <w:t xml:space="preserve">odboru boja proti terorizmu Prezídia Policajného zboru </w:t>
      </w:r>
      <w:r w:rsidRPr="00477BD4">
        <w:rPr>
          <w:rFonts w:eastAsiaTheme="minorHAnsi" w:cstheme="minorBidi"/>
          <w:sz w:val="24"/>
          <w:szCs w:val="22"/>
          <w:lang w:eastAsia="en-US"/>
        </w:rPr>
        <w:t>7</w:t>
      </w:r>
      <w:r>
        <w:rPr>
          <w:rFonts w:eastAsiaTheme="minorHAnsi" w:cstheme="minorBidi"/>
          <w:sz w:val="24"/>
          <w:szCs w:val="22"/>
          <w:lang w:eastAsia="en-US"/>
        </w:rPr>
        <w:t>9</w:t>
      </w:r>
      <w:r w:rsidRPr="00477BD4">
        <w:rPr>
          <w:rFonts w:eastAsiaTheme="minorHAnsi" w:cstheme="minorBidi"/>
          <w:sz w:val="24"/>
          <w:szCs w:val="22"/>
          <w:lang w:eastAsia="en-US"/>
        </w:rPr>
        <w:t xml:space="preserve"> informácií,</w:t>
      </w:r>
    </w:p>
    <w:p w14:paraId="4E0B2ADE" w14:textId="77777777" w:rsidR="00216BD5" w:rsidRPr="00477BD4" w:rsidRDefault="00216BD5" w:rsidP="00216BD5">
      <w:pPr>
        <w:numPr>
          <w:ilvl w:val="0"/>
          <w:numId w:val="4"/>
        </w:numPr>
        <w:spacing w:after="160" w:line="360" w:lineRule="auto"/>
        <w:contextualSpacing/>
        <w:jc w:val="left"/>
        <w:rPr>
          <w:rFonts w:eastAsiaTheme="minorHAnsi" w:cstheme="minorBidi"/>
          <w:sz w:val="24"/>
          <w:szCs w:val="22"/>
          <w:lang w:eastAsia="en-US"/>
        </w:rPr>
      </w:pPr>
      <w:r w:rsidRPr="00477BD4">
        <w:rPr>
          <w:rFonts w:eastAsiaTheme="minorHAnsi" w:cstheme="minorBidi"/>
          <w:sz w:val="24"/>
          <w:szCs w:val="22"/>
          <w:lang w:eastAsia="en-US"/>
        </w:rPr>
        <w:t>krajským a okresným riaditeľstvám PZ 488 informácií.</w:t>
      </w:r>
    </w:p>
    <w:p w14:paraId="1D7870E6" w14:textId="77777777" w:rsidR="00216BD5" w:rsidRPr="00477BD4" w:rsidRDefault="00216BD5" w:rsidP="00216BD5">
      <w:pPr>
        <w:spacing w:after="160" w:line="259" w:lineRule="auto"/>
        <w:contextualSpacing/>
        <w:rPr>
          <w:rFonts w:eastAsiaTheme="minorHAnsi" w:cstheme="minorBidi"/>
          <w:sz w:val="24"/>
          <w:szCs w:val="22"/>
          <w:lang w:eastAsia="en-US"/>
        </w:rPr>
      </w:pPr>
    </w:p>
    <w:p w14:paraId="308FF0C3" w14:textId="77777777" w:rsidR="00216BD5" w:rsidRDefault="00216BD5" w:rsidP="00216BD5">
      <w:pPr>
        <w:spacing w:after="160" w:line="283" w:lineRule="auto"/>
        <w:rPr>
          <w:rFonts w:eastAsiaTheme="minorHAnsi" w:cstheme="minorBidi"/>
          <w:sz w:val="24"/>
          <w:szCs w:val="22"/>
          <w:lang w:eastAsia="en-US"/>
        </w:rPr>
      </w:pPr>
      <w:r w:rsidRPr="00477BD4">
        <w:rPr>
          <w:rFonts w:eastAsiaTheme="minorHAnsi" w:cstheme="minorBidi"/>
          <w:sz w:val="24"/>
          <w:szCs w:val="22"/>
          <w:lang w:eastAsia="en-US"/>
        </w:rPr>
        <w:tab/>
      </w:r>
      <w:r>
        <w:rPr>
          <w:rFonts w:eastAsiaTheme="minorHAnsi" w:cstheme="minorBidi"/>
          <w:sz w:val="24"/>
          <w:szCs w:val="22"/>
          <w:lang w:eastAsia="en-US"/>
        </w:rPr>
        <w:t xml:space="preserve">Podľa </w:t>
      </w:r>
      <w:r w:rsidRPr="00477BD4">
        <w:rPr>
          <w:rFonts w:eastAsiaTheme="minorHAnsi" w:cstheme="minorBidi"/>
          <w:sz w:val="24"/>
          <w:szCs w:val="22"/>
          <w:lang w:eastAsia="en-US"/>
        </w:rPr>
        <w:t xml:space="preserve"> zákona o ochrane pred legalizáciou FSJ</w:t>
      </w:r>
      <w:r>
        <w:rPr>
          <w:rFonts w:eastAsiaTheme="minorHAnsi" w:cstheme="minorBidi"/>
          <w:sz w:val="24"/>
          <w:szCs w:val="22"/>
          <w:lang w:eastAsia="en-US"/>
        </w:rPr>
        <w:t xml:space="preserve"> </w:t>
      </w:r>
      <w:r w:rsidRPr="00477BD4">
        <w:rPr>
          <w:rFonts w:eastAsiaTheme="minorHAnsi" w:cstheme="minorBidi"/>
          <w:sz w:val="24"/>
          <w:szCs w:val="22"/>
          <w:lang w:eastAsia="en-US"/>
        </w:rPr>
        <w:t>inform</w:t>
      </w:r>
      <w:r>
        <w:rPr>
          <w:rFonts w:eastAsiaTheme="minorHAnsi" w:cstheme="minorBidi"/>
          <w:sz w:val="24"/>
          <w:szCs w:val="22"/>
          <w:lang w:eastAsia="en-US"/>
        </w:rPr>
        <w:t>uje</w:t>
      </w:r>
      <w:r w:rsidRPr="00477BD4">
        <w:rPr>
          <w:rFonts w:eastAsiaTheme="minorHAnsi" w:cstheme="minorBidi"/>
          <w:sz w:val="24"/>
          <w:szCs w:val="22"/>
          <w:lang w:eastAsia="en-US"/>
        </w:rPr>
        <w:t xml:space="preserve"> povinnú osobu o účinnosti hlásenia o NOO a o jednotlivých postupoch, ktoré nadväzujú na prijatie tohto hlásenia. Za týmto účelom sú FSJ</w:t>
      </w:r>
      <w:r>
        <w:rPr>
          <w:rFonts w:eastAsiaTheme="minorHAnsi" w:cstheme="minorBidi"/>
          <w:sz w:val="24"/>
          <w:szCs w:val="22"/>
          <w:lang w:eastAsia="en-US"/>
        </w:rPr>
        <w:t xml:space="preserve"> </w:t>
      </w:r>
      <w:r w:rsidRPr="00477BD4">
        <w:rPr>
          <w:rFonts w:eastAsiaTheme="minorHAnsi" w:cstheme="minorBidi"/>
          <w:sz w:val="24"/>
          <w:szCs w:val="22"/>
          <w:lang w:eastAsia="en-US"/>
        </w:rPr>
        <w:t>od OČTK požadované informácie (tzv. „spätné väzby“) o výsledkoch preverovania zaslaných informácií a o ďalších postupoch, ktoré boli v danej veci vykonané. Ucelený prehľad o jednotlivých postupoch a rozhodovacej činnosti OČTK o odstúpených informáciách z FSJ v intenciách Trestného poriadku, na základe zaslaných</w:t>
      </w:r>
      <w:r>
        <w:rPr>
          <w:rFonts w:eastAsiaTheme="minorHAnsi" w:cstheme="minorBidi"/>
          <w:sz w:val="24"/>
          <w:szCs w:val="22"/>
          <w:lang w:eastAsia="en-US"/>
        </w:rPr>
        <w:t xml:space="preserve"> </w:t>
      </w:r>
      <w:r w:rsidRPr="00477BD4">
        <w:rPr>
          <w:rFonts w:eastAsiaTheme="minorHAnsi" w:cstheme="minorBidi"/>
          <w:sz w:val="24"/>
          <w:szCs w:val="22"/>
          <w:lang w:eastAsia="en-US"/>
        </w:rPr>
        <w:t>rozhodnutí, či informácií OČTK poskytuje</w:t>
      </w:r>
      <w:r>
        <w:rPr>
          <w:rFonts w:eastAsiaTheme="minorHAnsi" w:cstheme="minorBidi"/>
          <w:sz w:val="24"/>
          <w:szCs w:val="22"/>
          <w:lang w:eastAsia="en-US"/>
        </w:rPr>
        <w:t xml:space="preserve"> tabuľka č. 6. </w:t>
      </w:r>
    </w:p>
    <w:p w14:paraId="1D142E13" w14:textId="77777777" w:rsidR="00216BD5" w:rsidRDefault="00216BD5" w:rsidP="00216BD5">
      <w:pPr>
        <w:spacing w:after="160"/>
        <w:rPr>
          <w:rFonts w:eastAsiaTheme="minorHAnsi" w:cstheme="minorBidi"/>
          <w:lang w:eastAsia="en-US"/>
        </w:rPr>
      </w:pPr>
    </w:p>
    <w:p w14:paraId="2A386273" w14:textId="77777777" w:rsidR="00216BD5" w:rsidRDefault="00216BD5" w:rsidP="00216BD5">
      <w:pPr>
        <w:spacing w:after="160"/>
        <w:rPr>
          <w:rFonts w:eastAsiaTheme="minorHAnsi" w:cstheme="minorBidi"/>
          <w:lang w:eastAsia="en-US"/>
        </w:rPr>
      </w:pPr>
    </w:p>
    <w:p w14:paraId="50259D8F" w14:textId="77777777" w:rsidR="00216BD5" w:rsidRDefault="00216BD5" w:rsidP="00216BD5">
      <w:pPr>
        <w:spacing w:after="160"/>
        <w:rPr>
          <w:rFonts w:eastAsiaTheme="minorHAnsi" w:cstheme="minorBidi"/>
          <w:lang w:eastAsia="en-US"/>
        </w:rPr>
      </w:pPr>
    </w:p>
    <w:p w14:paraId="4E1A513D" w14:textId="77777777" w:rsidR="00216BD5" w:rsidRPr="00477BD4" w:rsidRDefault="00216BD5" w:rsidP="00216BD5">
      <w:pPr>
        <w:spacing w:after="160"/>
        <w:rPr>
          <w:rFonts w:eastAsiaTheme="minorHAnsi" w:cstheme="minorBidi"/>
          <w:lang w:eastAsia="en-US"/>
        </w:rPr>
      </w:pPr>
      <w:r w:rsidRPr="00477BD4">
        <w:rPr>
          <w:rFonts w:eastAsiaTheme="minorHAnsi" w:cstheme="minorBidi"/>
          <w:lang w:eastAsia="en-US"/>
        </w:rPr>
        <w:lastRenderedPageBreak/>
        <w:t>Tabuľka č.</w:t>
      </w:r>
      <w:r>
        <w:rPr>
          <w:rFonts w:eastAsiaTheme="minorHAnsi" w:cstheme="minorBidi"/>
          <w:lang w:eastAsia="en-US"/>
        </w:rPr>
        <w:t xml:space="preserve"> 6</w:t>
      </w:r>
      <w:r w:rsidRPr="00477BD4">
        <w:rPr>
          <w:rFonts w:eastAsiaTheme="minorHAnsi" w:cstheme="minorBidi"/>
          <w:lang w:eastAsia="en-US"/>
        </w:rPr>
        <w:t xml:space="preserve">: Postup OČTK po odstúpení informácií v zmysle § 26 ods.2 písm. b) zákona o ochrane pred legalizáciou za rok 2014 </w:t>
      </w:r>
    </w:p>
    <w:tbl>
      <w:tblPr>
        <w:tblStyle w:val="Mriekatabuky3"/>
        <w:tblW w:w="0" w:type="auto"/>
        <w:tblLook w:val="04A0" w:firstRow="1" w:lastRow="0" w:firstColumn="1" w:lastColumn="0" w:noHBand="0" w:noVBand="1"/>
      </w:tblPr>
      <w:tblGrid>
        <w:gridCol w:w="4644"/>
        <w:gridCol w:w="4536"/>
      </w:tblGrid>
      <w:tr w:rsidR="00216BD5" w:rsidRPr="00477BD4" w14:paraId="0E1680C4" w14:textId="77777777" w:rsidTr="006703BB">
        <w:trPr>
          <w:trHeight w:val="964"/>
        </w:trPr>
        <w:tc>
          <w:tcPr>
            <w:tcW w:w="4644" w:type="dxa"/>
            <w:shd w:val="clear" w:color="auto" w:fill="A8D08D" w:themeFill="accent6" w:themeFillTint="99"/>
            <w:vAlign w:val="center"/>
          </w:tcPr>
          <w:p w14:paraId="62AB6647" w14:textId="77777777" w:rsidR="00216BD5" w:rsidRPr="008F55CF" w:rsidRDefault="00216BD5" w:rsidP="006703BB">
            <w:pPr>
              <w:spacing w:line="360" w:lineRule="auto"/>
              <w:rPr>
                <w:rFonts w:eastAsiaTheme="minorHAnsi" w:cstheme="minorBidi"/>
                <w:b/>
                <w:sz w:val="24"/>
                <w:szCs w:val="24"/>
                <w:lang w:eastAsia="en-US"/>
              </w:rPr>
            </w:pPr>
            <w:r w:rsidRPr="008F55CF">
              <w:rPr>
                <w:rFonts w:eastAsiaTheme="minorHAnsi" w:cstheme="minorBidi"/>
                <w:b/>
                <w:sz w:val="24"/>
                <w:szCs w:val="24"/>
                <w:lang w:eastAsia="en-US"/>
              </w:rPr>
              <w:t>Postup OČTK po získaní informácie z FSJ</w:t>
            </w:r>
          </w:p>
        </w:tc>
        <w:tc>
          <w:tcPr>
            <w:tcW w:w="4536" w:type="dxa"/>
            <w:shd w:val="clear" w:color="auto" w:fill="A8D08D" w:themeFill="accent6" w:themeFillTint="99"/>
            <w:vAlign w:val="center"/>
          </w:tcPr>
          <w:p w14:paraId="647F98D1" w14:textId="77777777" w:rsidR="00216BD5" w:rsidRPr="008F55CF" w:rsidRDefault="00216BD5" w:rsidP="006703BB">
            <w:pPr>
              <w:spacing w:line="360" w:lineRule="auto"/>
              <w:jc w:val="center"/>
              <w:rPr>
                <w:rFonts w:eastAsiaTheme="minorHAnsi" w:cstheme="minorBidi"/>
                <w:b/>
                <w:sz w:val="24"/>
                <w:szCs w:val="24"/>
                <w:lang w:eastAsia="en-US"/>
              </w:rPr>
            </w:pPr>
            <w:r w:rsidRPr="008F55CF">
              <w:rPr>
                <w:rFonts w:eastAsiaTheme="minorHAnsi" w:cstheme="minorBidi"/>
                <w:b/>
                <w:sz w:val="24"/>
                <w:szCs w:val="24"/>
                <w:lang w:eastAsia="en-US"/>
              </w:rPr>
              <w:t xml:space="preserve">Počet prípadov </w:t>
            </w:r>
          </w:p>
        </w:tc>
      </w:tr>
      <w:tr w:rsidR="00216BD5" w:rsidRPr="00477BD4" w14:paraId="01778CE7" w14:textId="77777777" w:rsidTr="006703BB">
        <w:trPr>
          <w:trHeight w:val="964"/>
        </w:trPr>
        <w:tc>
          <w:tcPr>
            <w:tcW w:w="4644" w:type="dxa"/>
            <w:shd w:val="clear" w:color="auto" w:fill="C5E0B3" w:themeFill="accent6" w:themeFillTint="66"/>
            <w:vAlign w:val="center"/>
          </w:tcPr>
          <w:p w14:paraId="105695D4" w14:textId="77777777" w:rsidR="00216BD5" w:rsidRPr="000A30E7" w:rsidRDefault="00216BD5" w:rsidP="006703BB">
            <w:pPr>
              <w:rPr>
                <w:rFonts w:eastAsiaTheme="minorHAnsi" w:cstheme="minorBidi"/>
                <w:sz w:val="24"/>
                <w:szCs w:val="24"/>
                <w:lang w:eastAsia="en-US"/>
              </w:rPr>
            </w:pPr>
            <w:r w:rsidRPr="000A30E7">
              <w:rPr>
                <w:rFonts w:eastAsiaTheme="minorHAnsi" w:cstheme="minorBidi"/>
                <w:sz w:val="24"/>
                <w:szCs w:val="24"/>
                <w:lang w:eastAsia="en-US"/>
              </w:rPr>
              <w:t xml:space="preserve">Začatie trestného stíhania podľa § 199 Trestného poriadku - vo všetkých prípadoch </w:t>
            </w:r>
          </w:p>
        </w:tc>
        <w:tc>
          <w:tcPr>
            <w:tcW w:w="4536" w:type="dxa"/>
            <w:shd w:val="clear" w:color="auto" w:fill="C5E0B3" w:themeFill="accent6" w:themeFillTint="66"/>
            <w:vAlign w:val="center"/>
          </w:tcPr>
          <w:p w14:paraId="64BEA973" w14:textId="77777777" w:rsidR="00216BD5" w:rsidRPr="000A30E7" w:rsidRDefault="00216BD5" w:rsidP="006703BB">
            <w:pPr>
              <w:jc w:val="center"/>
              <w:rPr>
                <w:rFonts w:eastAsiaTheme="minorHAnsi" w:cstheme="minorBidi"/>
                <w:sz w:val="24"/>
                <w:szCs w:val="24"/>
                <w:lang w:eastAsia="en-US"/>
              </w:rPr>
            </w:pPr>
            <w:r w:rsidRPr="000A30E7">
              <w:rPr>
                <w:rFonts w:eastAsiaTheme="minorHAnsi" w:cstheme="minorBidi"/>
                <w:sz w:val="24"/>
                <w:szCs w:val="24"/>
                <w:lang w:eastAsia="en-US"/>
              </w:rPr>
              <w:t>66</w:t>
            </w:r>
          </w:p>
        </w:tc>
      </w:tr>
      <w:tr w:rsidR="00216BD5" w:rsidRPr="00477BD4" w14:paraId="52448DA0" w14:textId="77777777" w:rsidTr="006703BB">
        <w:trPr>
          <w:trHeight w:val="964"/>
        </w:trPr>
        <w:tc>
          <w:tcPr>
            <w:tcW w:w="4644" w:type="dxa"/>
            <w:shd w:val="clear" w:color="auto" w:fill="C5E0B3" w:themeFill="accent6" w:themeFillTint="66"/>
            <w:vAlign w:val="center"/>
          </w:tcPr>
          <w:p w14:paraId="62653183" w14:textId="77777777" w:rsidR="00216BD5" w:rsidRPr="000A30E7" w:rsidRDefault="00216BD5" w:rsidP="006703BB">
            <w:pPr>
              <w:rPr>
                <w:rFonts w:eastAsiaTheme="minorHAnsi" w:cstheme="minorBidi"/>
                <w:sz w:val="24"/>
                <w:szCs w:val="24"/>
                <w:lang w:eastAsia="en-US"/>
              </w:rPr>
            </w:pPr>
            <w:r w:rsidRPr="000A30E7">
              <w:rPr>
                <w:rFonts w:eastAsiaTheme="minorHAnsi" w:cstheme="minorBidi"/>
                <w:sz w:val="24"/>
                <w:szCs w:val="24"/>
                <w:lang w:eastAsia="en-US"/>
              </w:rPr>
              <w:t xml:space="preserve">Začatie trestného stíhania podľa § 199 Trestného poriadku - za trestný čin legalizácie príjmu z trestnej činnosti podľa § 233, § 234 Trestného zákona </w:t>
            </w:r>
          </w:p>
        </w:tc>
        <w:tc>
          <w:tcPr>
            <w:tcW w:w="4536" w:type="dxa"/>
            <w:shd w:val="clear" w:color="auto" w:fill="C5E0B3" w:themeFill="accent6" w:themeFillTint="66"/>
            <w:vAlign w:val="center"/>
          </w:tcPr>
          <w:p w14:paraId="5F296640" w14:textId="77777777" w:rsidR="00216BD5" w:rsidRPr="000A30E7" w:rsidRDefault="00216BD5" w:rsidP="006703BB">
            <w:pPr>
              <w:jc w:val="center"/>
              <w:rPr>
                <w:rFonts w:eastAsiaTheme="minorHAnsi" w:cstheme="minorBidi"/>
                <w:sz w:val="24"/>
                <w:szCs w:val="24"/>
                <w:lang w:eastAsia="en-US"/>
              </w:rPr>
            </w:pPr>
            <w:r w:rsidRPr="000A30E7">
              <w:rPr>
                <w:rFonts w:eastAsiaTheme="minorHAnsi" w:cstheme="minorBidi"/>
                <w:sz w:val="24"/>
                <w:szCs w:val="24"/>
                <w:lang w:eastAsia="en-US"/>
              </w:rPr>
              <w:t>44</w:t>
            </w:r>
          </w:p>
        </w:tc>
      </w:tr>
      <w:tr w:rsidR="00216BD5" w:rsidRPr="00477BD4" w14:paraId="48977663" w14:textId="77777777" w:rsidTr="006703BB">
        <w:trPr>
          <w:trHeight w:val="964"/>
        </w:trPr>
        <w:tc>
          <w:tcPr>
            <w:tcW w:w="4644" w:type="dxa"/>
            <w:shd w:val="clear" w:color="auto" w:fill="C5E0B3" w:themeFill="accent6" w:themeFillTint="66"/>
            <w:vAlign w:val="center"/>
          </w:tcPr>
          <w:p w14:paraId="2AFA0DF1" w14:textId="77777777" w:rsidR="00216BD5" w:rsidRPr="000A30E7" w:rsidRDefault="00216BD5" w:rsidP="006703BB">
            <w:pPr>
              <w:rPr>
                <w:rFonts w:eastAsiaTheme="minorHAnsi" w:cstheme="minorBidi"/>
                <w:sz w:val="24"/>
                <w:szCs w:val="24"/>
                <w:lang w:eastAsia="en-US"/>
              </w:rPr>
            </w:pPr>
            <w:r w:rsidRPr="000A30E7">
              <w:rPr>
                <w:rFonts w:eastAsiaTheme="minorHAnsi" w:cstheme="minorBidi"/>
                <w:sz w:val="24"/>
                <w:szCs w:val="24"/>
                <w:lang w:eastAsia="en-US"/>
              </w:rPr>
              <w:t xml:space="preserve">Začatie trestného stíhania podľa § 199 Trestného poriadku - za iný trestný čin </w:t>
            </w:r>
          </w:p>
        </w:tc>
        <w:tc>
          <w:tcPr>
            <w:tcW w:w="4536" w:type="dxa"/>
            <w:shd w:val="clear" w:color="auto" w:fill="C5E0B3" w:themeFill="accent6" w:themeFillTint="66"/>
            <w:vAlign w:val="center"/>
          </w:tcPr>
          <w:p w14:paraId="55F58FB8" w14:textId="77777777" w:rsidR="00216BD5" w:rsidRPr="000A30E7" w:rsidRDefault="00216BD5" w:rsidP="006703BB">
            <w:pPr>
              <w:jc w:val="center"/>
              <w:rPr>
                <w:rFonts w:eastAsiaTheme="minorHAnsi" w:cstheme="minorBidi"/>
                <w:sz w:val="24"/>
                <w:szCs w:val="24"/>
                <w:lang w:eastAsia="en-US"/>
              </w:rPr>
            </w:pPr>
            <w:r w:rsidRPr="000A30E7">
              <w:rPr>
                <w:rFonts w:eastAsiaTheme="minorHAnsi" w:cstheme="minorBidi"/>
                <w:sz w:val="24"/>
                <w:szCs w:val="24"/>
                <w:lang w:eastAsia="en-US"/>
              </w:rPr>
              <w:t>35</w:t>
            </w:r>
          </w:p>
        </w:tc>
      </w:tr>
      <w:tr w:rsidR="00216BD5" w:rsidRPr="00477BD4" w14:paraId="7C72BF74" w14:textId="77777777" w:rsidTr="006703BB">
        <w:trPr>
          <w:trHeight w:val="964"/>
        </w:trPr>
        <w:tc>
          <w:tcPr>
            <w:tcW w:w="4644" w:type="dxa"/>
            <w:shd w:val="clear" w:color="auto" w:fill="C5E0B3" w:themeFill="accent6" w:themeFillTint="66"/>
            <w:vAlign w:val="center"/>
          </w:tcPr>
          <w:p w14:paraId="75A5870F" w14:textId="77777777" w:rsidR="00216BD5" w:rsidRPr="000A30E7" w:rsidRDefault="00216BD5" w:rsidP="006703BB">
            <w:pPr>
              <w:rPr>
                <w:rFonts w:eastAsiaTheme="minorHAnsi" w:cstheme="minorBidi"/>
                <w:sz w:val="24"/>
                <w:szCs w:val="24"/>
                <w:lang w:eastAsia="en-US"/>
              </w:rPr>
            </w:pPr>
            <w:r w:rsidRPr="000A30E7">
              <w:rPr>
                <w:rFonts w:eastAsiaTheme="minorHAnsi" w:cstheme="minorBidi"/>
                <w:sz w:val="24"/>
                <w:szCs w:val="24"/>
                <w:lang w:eastAsia="en-US"/>
              </w:rPr>
              <w:t>Vznesenie obvinenia podľa § 206 Trestného poriadku – vo všetkých prípadoch</w:t>
            </w:r>
          </w:p>
        </w:tc>
        <w:tc>
          <w:tcPr>
            <w:tcW w:w="4536" w:type="dxa"/>
            <w:shd w:val="clear" w:color="auto" w:fill="C5E0B3" w:themeFill="accent6" w:themeFillTint="66"/>
            <w:vAlign w:val="center"/>
          </w:tcPr>
          <w:p w14:paraId="6A3B3525" w14:textId="77777777" w:rsidR="00216BD5" w:rsidRPr="000A30E7" w:rsidRDefault="00216BD5" w:rsidP="006703BB">
            <w:pPr>
              <w:jc w:val="center"/>
              <w:rPr>
                <w:rFonts w:eastAsiaTheme="minorHAnsi" w:cstheme="minorBidi"/>
                <w:sz w:val="24"/>
                <w:szCs w:val="24"/>
                <w:lang w:eastAsia="en-US"/>
              </w:rPr>
            </w:pPr>
            <w:r w:rsidRPr="000A30E7">
              <w:rPr>
                <w:rFonts w:eastAsiaTheme="minorHAnsi" w:cstheme="minorBidi"/>
                <w:sz w:val="24"/>
                <w:szCs w:val="24"/>
                <w:lang w:eastAsia="en-US"/>
              </w:rPr>
              <w:t>1</w:t>
            </w:r>
          </w:p>
        </w:tc>
      </w:tr>
      <w:tr w:rsidR="00216BD5" w:rsidRPr="00477BD4" w14:paraId="17D3FF24" w14:textId="77777777" w:rsidTr="006703BB">
        <w:trPr>
          <w:trHeight w:val="964"/>
        </w:trPr>
        <w:tc>
          <w:tcPr>
            <w:tcW w:w="4644" w:type="dxa"/>
            <w:shd w:val="clear" w:color="auto" w:fill="C5E0B3" w:themeFill="accent6" w:themeFillTint="66"/>
            <w:vAlign w:val="center"/>
          </w:tcPr>
          <w:p w14:paraId="5927BE60" w14:textId="77777777" w:rsidR="00216BD5" w:rsidRPr="000A30E7" w:rsidRDefault="00216BD5" w:rsidP="006703BB">
            <w:pPr>
              <w:rPr>
                <w:rFonts w:eastAsiaTheme="minorHAnsi" w:cstheme="minorBidi"/>
                <w:sz w:val="24"/>
                <w:szCs w:val="24"/>
                <w:lang w:eastAsia="en-US"/>
              </w:rPr>
            </w:pPr>
            <w:r w:rsidRPr="000A30E7">
              <w:rPr>
                <w:rFonts w:eastAsiaTheme="minorHAnsi" w:cstheme="minorBidi"/>
                <w:sz w:val="24"/>
                <w:szCs w:val="24"/>
                <w:lang w:eastAsia="en-US"/>
              </w:rPr>
              <w:t xml:space="preserve">Vznesenie obvinenia podľa § 206 Trestného poriadku za trestný čin legalizácie príjmu z trestnej činnosti podľa § 233, § 234 Trestného zákona </w:t>
            </w:r>
          </w:p>
        </w:tc>
        <w:tc>
          <w:tcPr>
            <w:tcW w:w="4536" w:type="dxa"/>
            <w:shd w:val="clear" w:color="auto" w:fill="C5E0B3" w:themeFill="accent6" w:themeFillTint="66"/>
            <w:vAlign w:val="center"/>
          </w:tcPr>
          <w:p w14:paraId="64BF3EAA" w14:textId="77777777" w:rsidR="00216BD5" w:rsidRPr="000A30E7" w:rsidRDefault="00216BD5" w:rsidP="006703BB">
            <w:pPr>
              <w:jc w:val="center"/>
              <w:rPr>
                <w:rFonts w:eastAsiaTheme="minorHAnsi" w:cstheme="minorBidi"/>
                <w:sz w:val="24"/>
                <w:szCs w:val="24"/>
                <w:lang w:eastAsia="en-US"/>
              </w:rPr>
            </w:pPr>
            <w:r w:rsidRPr="000A30E7">
              <w:rPr>
                <w:rFonts w:eastAsiaTheme="minorHAnsi" w:cstheme="minorBidi"/>
                <w:sz w:val="24"/>
                <w:szCs w:val="24"/>
                <w:lang w:eastAsia="en-US"/>
              </w:rPr>
              <w:t>1</w:t>
            </w:r>
          </w:p>
        </w:tc>
      </w:tr>
      <w:tr w:rsidR="00216BD5" w:rsidRPr="00477BD4" w14:paraId="48C3F92D" w14:textId="77777777" w:rsidTr="006703BB">
        <w:trPr>
          <w:trHeight w:val="964"/>
        </w:trPr>
        <w:tc>
          <w:tcPr>
            <w:tcW w:w="4644" w:type="dxa"/>
            <w:shd w:val="clear" w:color="auto" w:fill="C5E0B3" w:themeFill="accent6" w:themeFillTint="66"/>
            <w:vAlign w:val="center"/>
          </w:tcPr>
          <w:p w14:paraId="3AEFB376" w14:textId="77777777" w:rsidR="00216BD5" w:rsidRPr="000A30E7" w:rsidRDefault="00216BD5" w:rsidP="006703BB">
            <w:pPr>
              <w:rPr>
                <w:rFonts w:eastAsiaTheme="minorHAnsi" w:cstheme="minorBidi"/>
                <w:sz w:val="24"/>
                <w:szCs w:val="24"/>
                <w:lang w:eastAsia="en-US"/>
              </w:rPr>
            </w:pPr>
            <w:r w:rsidRPr="000A30E7">
              <w:rPr>
                <w:rFonts w:eastAsiaTheme="minorHAnsi" w:cstheme="minorBidi"/>
                <w:sz w:val="24"/>
                <w:szCs w:val="24"/>
                <w:lang w:eastAsia="en-US"/>
              </w:rPr>
              <w:t xml:space="preserve">Vznesenie obvinenia podľa § 206 Trestného poriadku – za ostatné trestné činy </w:t>
            </w:r>
          </w:p>
        </w:tc>
        <w:tc>
          <w:tcPr>
            <w:tcW w:w="4536" w:type="dxa"/>
            <w:shd w:val="clear" w:color="auto" w:fill="C5E0B3" w:themeFill="accent6" w:themeFillTint="66"/>
            <w:vAlign w:val="center"/>
          </w:tcPr>
          <w:p w14:paraId="18C4963A" w14:textId="77777777" w:rsidR="00216BD5" w:rsidRPr="000A30E7" w:rsidRDefault="00216BD5" w:rsidP="006703BB">
            <w:pPr>
              <w:jc w:val="center"/>
              <w:rPr>
                <w:rFonts w:eastAsiaTheme="minorHAnsi" w:cstheme="minorBidi"/>
                <w:sz w:val="24"/>
                <w:szCs w:val="24"/>
                <w:lang w:eastAsia="en-US"/>
              </w:rPr>
            </w:pPr>
            <w:r w:rsidRPr="000A30E7">
              <w:rPr>
                <w:rFonts w:eastAsiaTheme="minorHAnsi" w:cstheme="minorBidi"/>
                <w:sz w:val="24"/>
                <w:szCs w:val="24"/>
                <w:lang w:eastAsia="en-US"/>
              </w:rPr>
              <w:t>1</w:t>
            </w:r>
          </w:p>
        </w:tc>
      </w:tr>
      <w:tr w:rsidR="00216BD5" w:rsidRPr="00477BD4" w14:paraId="7868A591" w14:textId="77777777" w:rsidTr="006703BB">
        <w:trPr>
          <w:trHeight w:val="964"/>
        </w:trPr>
        <w:tc>
          <w:tcPr>
            <w:tcW w:w="4644" w:type="dxa"/>
            <w:shd w:val="clear" w:color="auto" w:fill="C5E0B3" w:themeFill="accent6" w:themeFillTint="66"/>
            <w:vAlign w:val="center"/>
          </w:tcPr>
          <w:p w14:paraId="213AFF7A" w14:textId="77777777" w:rsidR="00216BD5" w:rsidRPr="000A30E7" w:rsidRDefault="00216BD5" w:rsidP="006703BB">
            <w:pPr>
              <w:rPr>
                <w:rFonts w:eastAsiaTheme="minorHAnsi" w:cstheme="minorBidi"/>
                <w:sz w:val="24"/>
                <w:szCs w:val="24"/>
                <w:lang w:eastAsia="en-US"/>
              </w:rPr>
            </w:pPr>
            <w:r w:rsidRPr="000A30E7">
              <w:rPr>
                <w:rFonts w:eastAsiaTheme="minorHAnsi" w:cstheme="minorBidi"/>
                <w:sz w:val="24"/>
                <w:szCs w:val="24"/>
                <w:lang w:eastAsia="en-US"/>
              </w:rPr>
              <w:t xml:space="preserve">Odmietnutie začatia trestného stíhania podľa § 197 ods. 1 písm. d) Trestného poriadku </w:t>
            </w:r>
          </w:p>
        </w:tc>
        <w:tc>
          <w:tcPr>
            <w:tcW w:w="4536" w:type="dxa"/>
            <w:shd w:val="clear" w:color="auto" w:fill="C5E0B3" w:themeFill="accent6" w:themeFillTint="66"/>
            <w:vAlign w:val="center"/>
          </w:tcPr>
          <w:p w14:paraId="6F67B3C6" w14:textId="77777777" w:rsidR="00216BD5" w:rsidRPr="000A30E7" w:rsidRDefault="00216BD5" w:rsidP="006703BB">
            <w:pPr>
              <w:jc w:val="center"/>
              <w:rPr>
                <w:rFonts w:eastAsiaTheme="minorHAnsi" w:cstheme="minorBidi"/>
                <w:sz w:val="24"/>
                <w:szCs w:val="24"/>
                <w:lang w:eastAsia="en-US"/>
              </w:rPr>
            </w:pPr>
            <w:r w:rsidRPr="000A30E7">
              <w:rPr>
                <w:rFonts w:eastAsiaTheme="minorHAnsi" w:cstheme="minorBidi"/>
                <w:sz w:val="24"/>
                <w:szCs w:val="24"/>
                <w:lang w:eastAsia="en-US"/>
              </w:rPr>
              <w:t>16</w:t>
            </w:r>
          </w:p>
        </w:tc>
      </w:tr>
      <w:tr w:rsidR="00216BD5" w:rsidRPr="00477BD4" w14:paraId="643F766F" w14:textId="77777777" w:rsidTr="006703BB">
        <w:trPr>
          <w:trHeight w:val="964"/>
        </w:trPr>
        <w:tc>
          <w:tcPr>
            <w:tcW w:w="4644" w:type="dxa"/>
            <w:shd w:val="clear" w:color="auto" w:fill="C5E0B3" w:themeFill="accent6" w:themeFillTint="66"/>
            <w:vAlign w:val="center"/>
          </w:tcPr>
          <w:p w14:paraId="61A4A86E" w14:textId="77777777" w:rsidR="00216BD5" w:rsidRPr="000A30E7" w:rsidRDefault="00216BD5" w:rsidP="006703BB">
            <w:pPr>
              <w:rPr>
                <w:rFonts w:eastAsiaTheme="minorHAnsi" w:cstheme="minorBidi"/>
                <w:sz w:val="24"/>
                <w:szCs w:val="24"/>
                <w:lang w:eastAsia="en-US"/>
              </w:rPr>
            </w:pPr>
            <w:r w:rsidRPr="000A30E7">
              <w:rPr>
                <w:rFonts w:eastAsiaTheme="minorHAnsi" w:cstheme="minorBidi"/>
                <w:sz w:val="24"/>
                <w:szCs w:val="24"/>
                <w:lang w:eastAsia="en-US"/>
              </w:rPr>
              <w:t>Zaistenie peňažných prostriedkov podľa § 95 Trestného poriadku</w:t>
            </w:r>
          </w:p>
        </w:tc>
        <w:tc>
          <w:tcPr>
            <w:tcW w:w="4536" w:type="dxa"/>
            <w:shd w:val="clear" w:color="auto" w:fill="C5E0B3" w:themeFill="accent6" w:themeFillTint="66"/>
            <w:vAlign w:val="center"/>
          </w:tcPr>
          <w:p w14:paraId="04DE6E70" w14:textId="77777777" w:rsidR="00216BD5" w:rsidRPr="000A30E7" w:rsidRDefault="00216BD5" w:rsidP="006703BB">
            <w:pPr>
              <w:jc w:val="center"/>
              <w:rPr>
                <w:rFonts w:eastAsiaTheme="minorHAnsi" w:cstheme="minorBidi"/>
                <w:sz w:val="24"/>
                <w:szCs w:val="24"/>
                <w:lang w:eastAsia="en-US"/>
              </w:rPr>
            </w:pPr>
            <w:r w:rsidRPr="000A30E7">
              <w:rPr>
                <w:rFonts w:eastAsiaTheme="minorHAnsi" w:cstheme="minorBidi"/>
                <w:sz w:val="24"/>
                <w:szCs w:val="24"/>
                <w:lang w:eastAsia="en-US"/>
              </w:rPr>
              <w:t>50</w:t>
            </w:r>
          </w:p>
        </w:tc>
      </w:tr>
    </w:tbl>
    <w:p w14:paraId="71AF5F8E" w14:textId="77777777" w:rsidR="00216BD5" w:rsidRPr="00477BD4" w:rsidRDefault="00216BD5" w:rsidP="00216BD5">
      <w:pPr>
        <w:spacing w:after="160"/>
        <w:rPr>
          <w:rFonts w:eastAsiaTheme="minorHAnsi" w:cstheme="minorBidi"/>
          <w:sz w:val="24"/>
          <w:szCs w:val="24"/>
          <w:lang w:eastAsia="en-US"/>
        </w:rPr>
      </w:pPr>
    </w:p>
    <w:p w14:paraId="6FF1C59E" w14:textId="77777777" w:rsidR="00216BD5" w:rsidRPr="00477BD4" w:rsidRDefault="00216BD5" w:rsidP="00216BD5">
      <w:pPr>
        <w:spacing w:after="160"/>
        <w:rPr>
          <w:rFonts w:eastAsiaTheme="minorHAnsi" w:cstheme="minorBidi"/>
          <w:sz w:val="24"/>
          <w:szCs w:val="24"/>
          <w:lang w:eastAsia="en-US"/>
        </w:rPr>
      </w:pPr>
      <w:r w:rsidRPr="00477BD4">
        <w:rPr>
          <w:rFonts w:eastAsiaTheme="minorHAnsi" w:cstheme="minorBidi"/>
          <w:sz w:val="24"/>
          <w:szCs w:val="24"/>
          <w:lang w:eastAsia="en-US"/>
        </w:rPr>
        <w:tab/>
        <w:t>Z dôvodu odstránenia nedostatku spočívajúceho v neexistencii zosúladeného a zjednoteného štatistického výstupu za všetky orgány verejnej moci k počtu prípadov</w:t>
      </w:r>
      <w:r>
        <w:rPr>
          <w:rFonts w:eastAsiaTheme="minorHAnsi" w:cstheme="minorBidi"/>
          <w:sz w:val="24"/>
          <w:szCs w:val="24"/>
          <w:lang w:eastAsia="en-US"/>
        </w:rPr>
        <w:t xml:space="preserve"> </w:t>
      </w:r>
      <w:r w:rsidRPr="00477BD4">
        <w:rPr>
          <w:rFonts w:eastAsiaTheme="minorHAnsi" w:cstheme="minorBidi"/>
          <w:sz w:val="24"/>
          <w:szCs w:val="24"/>
          <w:lang w:eastAsia="en-US"/>
        </w:rPr>
        <w:t>legalizácie príjmov z trestnej činnosti a financovania terorizmu identifikovaných, následne stíhaných, obžalovaných a odsúdených, spracovala FSJ do uceleného výstupu štatistické údaje (viď tabuľka č.</w:t>
      </w:r>
      <w:r>
        <w:rPr>
          <w:rFonts w:eastAsiaTheme="minorHAnsi" w:cstheme="minorBidi"/>
          <w:sz w:val="24"/>
          <w:szCs w:val="24"/>
          <w:lang w:eastAsia="en-US"/>
        </w:rPr>
        <w:t xml:space="preserve"> 8</w:t>
      </w:r>
      <w:r w:rsidRPr="00477BD4">
        <w:rPr>
          <w:rFonts w:eastAsiaTheme="minorHAnsi" w:cstheme="minorBidi"/>
          <w:sz w:val="24"/>
          <w:szCs w:val="24"/>
          <w:lang w:eastAsia="en-US"/>
        </w:rPr>
        <w:t>) poskytnuté útvarmi PZ, Kriminálnym úradom finančnej správy, trestným a medzinárodným odborom Generálnej prokuratúry SR a Ministerstvom spravodlivosti SR. Tieto údaje sa týkajú trestného činu legalizácie príjmu z trestnej činnosti podľa § 233 a § 234 Trestného zákona,</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pri ktorých sú požadované </w:t>
      </w:r>
      <w:r>
        <w:rPr>
          <w:rFonts w:eastAsiaTheme="minorHAnsi" w:cstheme="minorBidi"/>
          <w:sz w:val="24"/>
          <w:szCs w:val="24"/>
          <w:lang w:eastAsia="en-US"/>
        </w:rPr>
        <w:t>informácie</w:t>
      </w:r>
      <w:r w:rsidRPr="00477BD4">
        <w:rPr>
          <w:rFonts w:eastAsiaTheme="minorHAnsi" w:cstheme="minorBidi"/>
          <w:sz w:val="24"/>
          <w:szCs w:val="24"/>
          <w:lang w:eastAsia="en-US"/>
        </w:rPr>
        <w:t xml:space="preserve"> o počte podnetov na trestné stíhanie, o začatí trestného stíhania, vznesení obvinenia, či spôsobe ukončenia trestného stíhania, o počte stíhaných, obžalovaných a následne právoplatne odsúdených osôb za tieto trestné činy v roku 2014. </w:t>
      </w:r>
    </w:p>
    <w:p w14:paraId="293721FB" w14:textId="77777777" w:rsidR="00216BD5" w:rsidRPr="00477BD4" w:rsidRDefault="00216BD5" w:rsidP="00216BD5">
      <w:pPr>
        <w:spacing w:after="160"/>
        <w:rPr>
          <w:rFonts w:eastAsiaTheme="minorHAnsi" w:cstheme="minorBidi"/>
          <w:sz w:val="24"/>
          <w:szCs w:val="24"/>
          <w:lang w:eastAsia="en-US"/>
        </w:rPr>
      </w:pPr>
      <w:r w:rsidRPr="00477BD4">
        <w:rPr>
          <w:rFonts w:eastAsiaTheme="minorHAnsi" w:cstheme="minorBidi"/>
          <w:sz w:val="24"/>
          <w:szCs w:val="24"/>
          <w:lang w:eastAsia="en-US"/>
        </w:rPr>
        <w:tab/>
        <w:t>Z podkladov poskytnutých od vyššie uvedených subjektov vyplýva, že</w:t>
      </w:r>
      <w:r>
        <w:rPr>
          <w:rFonts w:eastAsiaTheme="minorHAnsi" w:cstheme="minorBidi"/>
          <w:sz w:val="24"/>
          <w:szCs w:val="24"/>
          <w:lang w:eastAsia="en-US"/>
        </w:rPr>
        <w:t xml:space="preserve"> </w:t>
      </w:r>
      <w:r w:rsidRPr="00477BD4">
        <w:rPr>
          <w:rFonts w:eastAsiaTheme="minorHAnsi" w:cstheme="minorBidi"/>
          <w:sz w:val="24"/>
          <w:szCs w:val="24"/>
          <w:lang w:eastAsia="en-US"/>
        </w:rPr>
        <w:t>v roku 2014 nebol zaznamenaný ani jeden prípad, kedy by bol daný podnet na trestné stíhanie a</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kedy by bolo začaté trestné stíhanie, vznesené obvinenie, podaná obžaloba, či vydaný právoplatný </w:t>
      </w:r>
      <w:r w:rsidRPr="00477BD4">
        <w:rPr>
          <w:rFonts w:eastAsiaTheme="minorHAnsi" w:cstheme="minorBidi"/>
          <w:sz w:val="24"/>
          <w:szCs w:val="24"/>
          <w:lang w:eastAsia="en-US"/>
        </w:rPr>
        <w:lastRenderedPageBreak/>
        <w:t>rozsudok vo veci trestného činu Terorizmu a niektorých for</w:t>
      </w:r>
      <w:r>
        <w:rPr>
          <w:rFonts w:eastAsiaTheme="minorHAnsi" w:cstheme="minorBidi"/>
          <w:sz w:val="24"/>
          <w:szCs w:val="24"/>
          <w:lang w:eastAsia="en-US"/>
        </w:rPr>
        <w:t>iem účasti na terorizme podľa § </w:t>
      </w:r>
      <w:r w:rsidRPr="00477BD4">
        <w:rPr>
          <w:rFonts w:eastAsiaTheme="minorHAnsi" w:cstheme="minorBidi"/>
          <w:sz w:val="24"/>
          <w:szCs w:val="24"/>
          <w:lang w:eastAsia="en-US"/>
        </w:rPr>
        <w:t>419 Trestného zákona. Taktiež v uvedenom roku neprišlo k podaniu obžaloby.</w:t>
      </w:r>
    </w:p>
    <w:p w14:paraId="431F5D18" w14:textId="77777777" w:rsidR="00216BD5" w:rsidRPr="00477BD4" w:rsidRDefault="00216BD5" w:rsidP="00216BD5">
      <w:pPr>
        <w:spacing w:after="160"/>
        <w:rPr>
          <w:rFonts w:eastAsiaTheme="minorHAnsi" w:cstheme="minorBidi"/>
          <w:sz w:val="24"/>
          <w:szCs w:val="24"/>
          <w:lang w:eastAsia="en-US"/>
        </w:rPr>
      </w:pPr>
      <w:r w:rsidRPr="00477BD4">
        <w:rPr>
          <w:rFonts w:eastAsiaTheme="minorHAnsi" w:cstheme="minorBidi"/>
          <w:sz w:val="24"/>
          <w:szCs w:val="24"/>
          <w:lang w:eastAsia="en-US"/>
        </w:rPr>
        <w:tab/>
        <w:t>Zo sledovaných údajov je možné v porovnaní s predchádzajúcim rokom 2013 pozorovať takmer rovnaký počet</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prípadov, kedy bola pre trestný čin legalizácie príjmu z trestnej činnosti podaná obžaloba (nárast o 1 prípad), prípadne schválená dohoda o vine a treste (pokles o 1 prípad). Ako vyplýva zo štatistických údajov k trestným činom legalizácie príjmu z trestnej činnosti poskytnutých </w:t>
      </w:r>
      <w:r>
        <w:rPr>
          <w:rFonts w:eastAsiaTheme="minorHAnsi" w:cstheme="minorBidi"/>
          <w:sz w:val="24"/>
          <w:szCs w:val="24"/>
          <w:lang w:eastAsia="en-US"/>
        </w:rPr>
        <w:t>M</w:t>
      </w:r>
      <w:r w:rsidRPr="00477BD4">
        <w:rPr>
          <w:rFonts w:eastAsiaTheme="minorHAnsi" w:cstheme="minorBidi"/>
          <w:sz w:val="24"/>
          <w:szCs w:val="24"/>
          <w:lang w:eastAsia="en-US"/>
        </w:rPr>
        <w:t>inisterstvom spravodlivosti SR, v roku 2014 bol v jednotlivých prípadoch vydaný právoplatný rozsudok týkajúci sa celkovo 23 osôb, z ktorých bolo 15 právoplatne odsúdených a 8 osôb bolo na základe rozsudku oslobodených.</w:t>
      </w:r>
    </w:p>
    <w:p w14:paraId="2543436D" w14:textId="77777777" w:rsidR="00216BD5" w:rsidRPr="00477BD4" w:rsidRDefault="00216BD5" w:rsidP="00216BD5">
      <w:pPr>
        <w:rPr>
          <w:rFonts w:eastAsiaTheme="minorHAnsi" w:cstheme="minorBidi"/>
          <w:sz w:val="24"/>
          <w:szCs w:val="24"/>
          <w:lang w:eastAsia="en-US"/>
        </w:rPr>
      </w:pPr>
      <w:r w:rsidRPr="00477BD4">
        <w:rPr>
          <w:rFonts w:eastAsiaTheme="minorHAnsi" w:cstheme="minorBidi"/>
          <w:sz w:val="24"/>
          <w:szCs w:val="24"/>
          <w:lang w:eastAsia="en-US"/>
        </w:rPr>
        <w:tab/>
        <w:t xml:space="preserve">Pre získanie prehľadu o rozsahu uplatňovania vybraných zaisťovacích inštitútov Trestného poriadku v trestnom konaní v roku 2014 bol ohľadom všetkých trestných činov, </w:t>
      </w:r>
      <w:r>
        <w:rPr>
          <w:rFonts w:eastAsiaTheme="minorHAnsi" w:cstheme="minorBidi"/>
          <w:sz w:val="24"/>
          <w:szCs w:val="24"/>
          <w:lang w:eastAsia="en-US"/>
        </w:rPr>
        <w:t>a osobitne</w:t>
      </w:r>
      <w:r w:rsidRPr="00477BD4">
        <w:rPr>
          <w:rFonts w:eastAsiaTheme="minorHAnsi" w:cstheme="minorBidi"/>
          <w:sz w:val="24"/>
          <w:szCs w:val="24"/>
          <w:lang w:eastAsia="en-US"/>
        </w:rPr>
        <w:t xml:space="preserve"> trestných činov legalizácie príjmu z trestnej činnosti, spracovaný štatistický prehľad podrobne znázornený v tabuľke č.</w:t>
      </w:r>
      <w:r>
        <w:rPr>
          <w:rFonts w:eastAsiaTheme="minorHAnsi" w:cstheme="minorBidi"/>
          <w:sz w:val="24"/>
          <w:szCs w:val="24"/>
          <w:lang w:eastAsia="en-US"/>
        </w:rPr>
        <w:t xml:space="preserve"> 7</w:t>
      </w:r>
      <w:r w:rsidRPr="00477BD4">
        <w:rPr>
          <w:rFonts w:eastAsiaTheme="minorHAnsi" w:cstheme="minorBidi"/>
          <w:sz w:val="24"/>
          <w:szCs w:val="24"/>
          <w:lang w:eastAsia="en-US"/>
        </w:rPr>
        <w:t>.</w:t>
      </w:r>
      <w:r>
        <w:rPr>
          <w:rFonts w:eastAsiaTheme="minorHAnsi" w:cstheme="minorBidi"/>
          <w:sz w:val="24"/>
          <w:szCs w:val="24"/>
          <w:lang w:eastAsia="en-US"/>
        </w:rPr>
        <w:t xml:space="preserve"> </w:t>
      </w:r>
      <w:r w:rsidRPr="00477BD4">
        <w:rPr>
          <w:rFonts w:eastAsiaTheme="minorHAnsi" w:cstheme="minorBidi"/>
          <w:sz w:val="24"/>
          <w:szCs w:val="24"/>
          <w:lang w:eastAsia="en-US"/>
        </w:rPr>
        <w:t>Z uvedenej tabuľky vyplýva, že podiel zaisťovacích inštitútov Trestného poriadku použitých v súvislosti s realizáciou trestného konania pre trestný čin legalizácie príjmu z trestnej činnosti na celkovej aplikácii</w:t>
      </w:r>
      <w:r>
        <w:rPr>
          <w:rFonts w:eastAsiaTheme="minorHAnsi" w:cstheme="minorBidi"/>
          <w:sz w:val="24"/>
          <w:szCs w:val="24"/>
          <w:lang w:eastAsia="en-US"/>
        </w:rPr>
        <w:t xml:space="preserve"> </w:t>
      </w:r>
      <w:r w:rsidRPr="00477BD4">
        <w:rPr>
          <w:rFonts w:eastAsiaTheme="minorHAnsi" w:cstheme="minorBidi"/>
          <w:sz w:val="24"/>
          <w:szCs w:val="24"/>
          <w:lang w:eastAsia="en-US"/>
        </w:rPr>
        <w:t>týcht</w:t>
      </w:r>
      <w:r>
        <w:rPr>
          <w:rFonts w:eastAsiaTheme="minorHAnsi" w:cstheme="minorBidi"/>
          <w:sz w:val="24"/>
          <w:szCs w:val="24"/>
          <w:lang w:eastAsia="en-US"/>
        </w:rPr>
        <w:t>o inštitútov použitých v rámci t</w:t>
      </w:r>
      <w:r w:rsidRPr="00477BD4">
        <w:rPr>
          <w:rFonts w:eastAsiaTheme="minorHAnsi" w:cstheme="minorBidi"/>
          <w:sz w:val="24"/>
          <w:szCs w:val="24"/>
          <w:lang w:eastAsia="en-US"/>
        </w:rPr>
        <w:t>restného konania je len minimálny.</w:t>
      </w:r>
    </w:p>
    <w:p w14:paraId="207E810B" w14:textId="77777777" w:rsidR="00216BD5" w:rsidRDefault="00216BD5" w:rsidP="00216BD5">
      <w:pPr>
        <w:spacing w:after="160"/>
        <w:rPr>
          <w:rFonts w:eastAsiaTheme="minorHAnsi" w:cstheme="minorBidi"/>
          <w:lang w:eastAsia="en-US"/>
        </w:rPr>
      </w:pPr>
    </w:p>
    <w:p w14:paraId="302951AC" w14:textId="77777777" w:rsidR="00216BD5" w:rsidRPr="00477BD4" w:rsidRDefault="00216BD5" w:rsidP="00216BD5">
      <w:pPr>
        <w:spacing w:after="160"/>
        <w:rPr>
          <w:rFonts w:eastAsiaTheme="minorHAnsi" w:cstheme="minorBidi"/>
          <w:sz w:val="24"/>
          <w:szCs w:val="24"/>
          <w:lang w:eastAsia="en-US"/>
        </w:rPr>
      </w:pPr>
      <w:r w:rsidRPr="00477BD4">
        <w:rPr>
          <w:rFonts w:eastAsiaTheme="minorHAnsi" w:cstheme="minorBidi"/>
          <w:lang w:eastAsia="en-US"/>
        </w:rPr>
        <w:t>Tabuľka č.</w:t>
      </w:r>
      <w:r>
        <w:rPr>
          <w:rFonts w:eastAsiaTheme="minorHAnsi" w:cstheme="minorBidi"/>
          <w:lang w:eastAsia="en-US"/>
        </w:rPr>
        <w:t xml:space="preserve"> 7</w:t>
      </w:r>
      <w:r w:rsidRPr="00477BD4">
        <w:rPr>
          <w:rFonts w:eastAsiaTheme="minorHAnsi" w:cstheme="minorBidi"/>
          <w:lang w:eastAsia="en-US"/>
        </w:rPr>
        <w:t xml:space="preserve">: Štatistický prehľad rozsahu uplatňovania vybraných zaisťovacích inštitútov Trestného poriadku v trestnom konaní v roku 2014 pri všetkých trestných činoch a pri trestných činoch legalizácie príjmov z trestnej činnosti podľa § 233 a § 234 Trestného zákona </w:t>
      </w:r>
    </w:p>
    <w:tbl>
      <w:tblPr>
        <w:tblStyle w:val="Mriekatabuky3"/>
        <w:tblW w:w="0" w:type="auto"/>
        <w:jc w:val="center"/>
        <w:tblLook w:val="04A0" w:firstRow="1" w:lastRow="0" w:firstColumn="1" w:lastColumn="0" w:noHBand="0" w:noVBand="1"/>
      </w:tblPr>
      <w:tblGrid>
        <w:gridCol w:w="418"/>
        <w:gridCol w:w="2799"/>
        <w:gridCol w:w="1150"/>
        <w:gridCol w:w="1818"/>
        <w:gridCol w:w="1275"/>
        <w:gridCol w:w="1828"/>
      </w:tblGrid>
      <w:tr w:rsidR="00216BD5" w:rsidRPr="00477BD4" w14:paraId="09AB8C06" w14:textId="77777777" w:rsidTr="00A433FE">
        <w:trPr>
          <w:trHeight w:val="1143"/>
          <w:jc w:val="center"/>
        </w:trPr>
        <w:tc>
          <w:tcPr>
            <w:tcW w:w="422" w:type="dxa"/>
            <w:vMerge w:val="restart"/>
            <w:tcBorders>
              <w:top w:val="nil"/>
              <w:left w:val="nil"/>
            </w:tcBorders>
            <w:shd w:val="clear" w:color="auto" w:fill="FFFFFF" w:themeFill="background1"/>
          </w:tcPr>
          <w:p w14:paraId="3C2F02AF" w14:textId="77777777" w:rsidR="00216BD5" w:rsidRPr="00477BD4" w:rsidRDefault="00216BD5" w:rsidP="006703BB">
            <w:pPr>
              <w:rPr>
                <w:rFonts w:eastAsiaTheme="minorHAnsi" w:cstheme="minorBidi"/>
                <w:sz w:val="24"/>
                <w:szCs w:val="24"/>
                <w:lang w:eastAsia="en-US"/>
              </w:rPr>
            </w:pPr>
          </w:p>
        </w:tc>
        <w:tc>
          <w:tcPr>
            <w:tcW w:w="2849" w:type="dxa"/>
            <w:vMerge w:val="restart"/>
            <w:shd w:val="clear" w:color="auto" w:fill="B4C6E7" w:themeFill="accent5" w:themeFillTint="66"/>
            <w:vAlign w:val="center"/>
          </w:tcPr>
          <w:p w14:paraId="7286CD30" w14:textId="77777777" w:rsidR="00216BD5" w:rsidRDefault="00216BD5" w:rsidP="006703BB">
            <w:pPr>
              <w:jc w:val="center"/>
              <w:rPr>
                <w:rFonts w:eastAsiaTheme="minorHAnsi" w:cstheme="minorBidi"/>
                <w:b/>
                <w:sz w:val="24"/>
                <w:szCs w:val="24"/>
                <w:lang w:eastAsia="en-US"/>
              </w:rPr>
            </w:pPr>
            <w:r w:rsidRPr="00477BD4">
              <w:rPr>
                <w:rFonts w:eastAsiaTheme="minorHAnsi" w:cstheme="minorBidi"/>
                <w:b/>
                <w:sz w:val="24"/>
                <w:szCs w:val="24"/>
                <w:lang w:eastAsia="en-US"/>
              </w:rPr>
              <w:t>Názov ustanovenia</w:t>
            </w:r>
          </w:p>
          <w:p w14:paraId="387A8D92" w14:textId="77777777" w:rsidR="00216BD5" w:rsidRPr="00477BD4" w:rsidRDefault="00216BD5" w:rsidP="006703BB">
            <w:pPr>
              <w:jc w:val="center"/>
              <w:rPr>
                <w:rFonts w:eastAsiaTheme="minorHAnsi" w:cstheme="minorBidi"/>
                <w:b/>
                <w:sz w:val="24"/>
                <w:szCs w:val="24"/>
                <w:lang w:eastAsia="en-US"/>
              </w:rPr>
            </w:pPr>
            <w:r>
              <w:rPr>
                <w:rFonts w:eastAsiaTheme="minorHAnsi" w:cstheme="minorBidi"/>
                <w:b/>
                <w:sz w:val="24"/>
                <w:szCs w:val="24"/>
                <w:lang w:eastAsia="en-US"/>
              </w:rPr>
              <w:t>TP</w:t>
            </w:r>
          </w:p>
        </w:tc>
        <w:tc>
          <w:tcPr>
            <w:tcW w:w="2698" w:type="dxa"/>
            <w:gridSpan w:val="2"/>
            <w:shd w:val="clear" w:color="auto" w:fill="B4C6E7" w:themeFill="accent5" w:themeFillTint="66"/>
            <w:vAlign w:val="center"/>
          </w:tcPr>
          <w:p w14:paraId="5095D981" w14:textId="77777777" w:rsidR="00216BD5" w:rsidRPr="00477BD4" w:rsidRDefault="00216BD5" w:rsidP="006703BB">
            <w:pPr>
              <w:jc w:val="center"/>
              <w:rPr>
                <w:rFonts w:eastAsiaTheme="minorHAnsi" w:cstheme="minorBidi"/>
                <w:b/>
                <w:sz w:val="24"/>
                <w:szCs w:val="24"/>
                <w:lang w:eastAsia="en-US"/>
              </w:rPr>
            </w:pPr>
            <w:r w:rsidRPr="00477BD4">
              <w:rPr>
                <w:rFonts w:eastAsiaTheme="minorHAnsi" w:cstheme="minorBidi"/>
                <w:b/>
                <w:sz w:val="24"/>
                <w:szCs w:val="24"/>
                <w:lang w:eastAsia="en-US"/>
              </w:rPr>
              <w:t>Všetky trestné činy</w:t>
            </w:r>
          </w:p>
        </w:tc>
        <w:tc>
          <w:tcPr>
            <w:tcW w:w="3123" w:type="dxa"/>
            <w:gridSpan w:val="2"/>
            <w:shd w:val="clear" w:color="auto" w:fill="B4C6E7" w:themeFill="accent5" w:themeFillTint="66"/>
            <w:vAlign w:val="center"/>
          </w:tcPr>
          <w:p w14:paraId="1FC5FDEF" w14:textId="77777777" w:rsidR="00216BD5" w:rsidRPr="00477BD4" w:rsidRDefault="00216BD5" w:rsidP="006703BB">
            <w:pPr>
              <w:jc w:val="center"/>
              <w:rPr>
                <w:rFonts w:eastAsiaTheme="minorHAnsi" w:cstheme="minorBidi"/>
                <w:b/>
                <w:sz w:val="24"/>
                <w:szCs w:val="24"/>
                <w:lang w:eastAsia="en-US"/>
              </w:rPr>
            </w:pPr>
            <w:r w:rsidRPr="00477BD4">
              <w:rPr>
                <w:rFonts w:eastAsiaTheme="minorHAnsi" w:cstheme="minorBidi"/>
                <w:b/>
                <w:sz w:val="24"/>
                <w:szCs w:val="24"/>
                <w:lang w:eastAsia="en-US"/>
              </w:rPr>
              <w:t>Trestné činy legalizácie príjmu z trestnej činnosti podľa § 233 a § 234 TZ</w:t>
            </w:r>
          </w:p>
        </w:tc>
      </w:tr>
      <w:tr w:rsidR="00216BD5" w:rsidRPr="00477BD4" w14:paraId="2C9C4417" w14:textId="77777777" w:rsidTr="00A433FE">
        <w:trPr>
          <w:trHeight w:val="620"/>
          <w:jc w:val="center"/>
        </w:trPr>
        <w:tc>
          <w:tcPr>
            <w:tcW w:w="422" w:type="dxa"/>
            <w:vMerge/>
            <w:tcBorders>
              <w:left w:val="nil"/>
            </w:tcBorders>
            <w:shd w:val="clear" w:color="auto" w:fill="FFFFFF" w:themeFill="background1"/>
          </w:tcPr>
          <w:p w14:paraId="15277FA0" w14:textId="77777777" w:rsidR="00216BD5" w:rsidRPr="00477BD4" w:rsidRDefault="00216BD5" w:rsidP="006703BB">
            <w:pPr>
              <w:rPr>
                <w:rFonts w:eastAsiaTheme="minorHAnsi" w:cstheme="minorBidi"/>
                <w:sz w:val="24"/>
                <w:szCs w:val="24"/>
                <w:lang w:eastAsia="en-US"/>
              </w:rPr>
            </w:pPr>
          </w:p>
        </w:tc>
        <w:tc>
          <w:tcPr>
            <w:tcW w:w="2849" w:type="dxa"/>
            <w:vMerge/>
            <w:shd w:val="clear" w:color="auto" w:fill="B4C6E7" w:themeFill="accent5" w:themeFillTint="66"/>
          </w:tcPr>
          <w:p w14:paraId="2757CE81" w14:textId="77777777" w:rsidR="00216BD5" w:rsidRPr="00477BD4" w:rsidRDefault="00216BD5" w:rsidP="006703BB">
            <w:pPr>
              <w:rPr>
                <w:rFonts w:eastAsiaTheme="minorHAnsi" w:cstheme="minorBidi"/>
                <w:b/>
                <w:sz w:val="24"/>
                <w:szCs w:val="24"/>
                <w:lang w:eastAsia="en-US"/>
              </w:rPr>
            </w:pPr>
          </w:p>
        </w:tc>
        <w:tc>
          <w:tcPr>
            <w:tcW w:w="865" w:type="dxa"/>
            <w:shd w:val="clear" w:color="auto" w:fill="B4C6E7" w:themeFill="accent5" w:themeFillTint="66"/>
          </w:tcPr>
          <w:p w14:paraId="6E99F93C" w14:textId="77777777" w:rsidR="00216BD5" w:rsidRPr="00477BD4" w:rsidRDefault="00216BD5" w:rsidP="006703BB">
            <w:pPr>
              <w:jc w:val="center"/>
              <w:rPr>
                <w:rFonts w:eastAsiaTheme="minorHAnsi" w:cstheme="minorBidi"/>
                <w:b/>
                <w:sz w:val="24"/>
                <w:szCs w:val="24"/>
                <w:lang w:eastAsia="en-US"/>
              </w:rPr>
            </w:pPr>
            <w:r w:rsidRPr="00477BD4">
              <w:rPr>
                <w:rFonts w:eastAsiaTheme="minorHAnsi" w:cstheme="minorBidi"/>
                <w:b/>
                <w:sz w:val="24"/>
                <w:szCs w:val="24"/>
                <w:lang w:eastAsia="en-US"/>
              </w:rPr>
              <w:t>Počet prípadov</w:t>
            </w:r>
          </w:p>
        </w:tc>
        <w:tc>
          <w:tcPr>
            <w:tcW w:w="1833" w:type="dxa"/>
            <w:shd w:val="clear" w:color="auto" w:fill="B4C6E7" w:themeFill="accent5" w:themeFillTint="66"/>
          </w:tcPr>
          <w:p w14:paraId="23FB72DA" w14:textId="77777777" w:rsidR="00216BD5" w:rsidRPr="00477BD4" w:rsidRDefault="00216BD5" w:rsidP="006703BB">
            <w:pPr>
              <w:jc w:val="center"/>
              <w:rPr>
                <w:rFonts w:eastAsiaTheme="minorHAnsi" w:cstheme="minorBidi"/>
                <w:b/>
                <w:sz w:val="24"/>
                <w:szCs w:val="24"/>
                <w:lang w:eastAsia="en-US"/>
              </w:rPr>
            </w:pPr>
            <w:r w:rsidRPr="00477BD4">
              <w:rPr>
                <w:rFonts w:eastAsiaTheme="minorHAnsi" w:cstheme="minorBidi"/>
                <w:b/>
                <w:sz w:val="24"/>
                <w:szCs w:val="24"/>
                <w:lang w:eastAsia="en-US"/>
              </w:rPr>
              <w:t>Celková hodnota v EUR</w:t>
            </w:r>
          </w:p>
        </w:tc>
        <w:tc>
          <w:tcPr>
            <w:tcW w:w="1280" w:type="dxa"/>
            <w:shd w:val="clear" w:color="auto" w:fill="B4C6E7" w:themeFill="accent5" w:themeFillTint="66"/>
          </w:tcPr>
          <w:p w14:paraId="0071D902" w14:textId="77777777" w:rsidR="00216BD5" w:rsidRPr="00477BD4" w:rsidRDefault="00216BD5" w:rsidP="006703BB">
            <w:pPr>
              <w:jc w:val="center"/>
              <w:rPr>
                <w:rFonts w:eastAsiaTheme="minorHAnsi" w:cstheme="minorBidi"/>
                <w:b/>
                <w:sz w:val="24"/>
                <w:szCs w:val="24"/>
                <w:lang w:eastAsia="en-US"/>
              </w:rPr>
            </w:pPr>
            <w:r w:rsidRPr="00477BD4">
              <w:rPr>
                <w:rFonts w:eastAsiaTheme="minorHAnsi" w:cstheme="minorBidi"/>
                <w:b/>
                <w:sz w:val="24"/>
                <w:szCs w:val="24"/>
                <w:lang w:eastAsia="en-US"/>
              </w:rPr>
              <w:t>Počet prípadov</w:t>
            </w:r>
          </w:p>
        </w:tc>
        <w:tc>
          <w:tcPr>
            <w:tcW w:w="1843" w:type="dxa"/>
            <w:shd w:val="clear" w:color="auto" w:fill="B4C6E7" w:themeFill="accent5" w:themeFillTint="66"/>
          </w:tcPr>
          <w:p w14:paraId="2A9EE3F7" w14:textId="77777777" w:rsidR="00216BD5" w:rsidRPr="00477BD4" w:rsidRDefault="00216BD5" w:rsidP="006703BB">
            <w:pPr>
              <w:jc w:val="center"/>
              <w:rPr>
                <w:rFonts w:eastAsiaTheme="minorHAnsi" w:cstheme="minorBidi"/>
                <w:b/>
                <w:sz w:val="24"/>
                <w:szCs w:val="24"/>
                <w:lang w:eastAsia="en-US"/>
              </w:rPr>
            </w:pPr>
            <w:r w:rsidRPr="00477BD4">
              <w:rPr>
                <w:rFonts w:eastAsiaTheme="minorHAnsi" w:cstheme="minorBidi"/>
                <w:b/>
                <w:sz w:val="24"/>
                <w:szCs w:val="24"/>
                <w:lang w:eastAsia="en-US"/>
              </w:rPr>
              <w:t>Celková hodnota v EUR</w:t>
            </w:r>
          </w:p>
        </w:tc>
      </w:tr>
      <w:tr w:rsidR="00216BD5" w:rsidRPr="00477BD4" w14:paraId="53AF7C2A" w14:textId="77777777" w:rsidTr="00A433FE">
        <w:trPr>
          <w:trHeight w:val="1527"/>
          <w:jc w:val="center"/>
        </w:trPr>
        <w:tc>
          <w:tcPr>
            <w:tcW w:w="422" w:type="dxa"/>
            <w:shd w:val="clear" w:color="auto" w:fill="D9E2F3" w:themeFill="accent5" w:themeFillTint="33"/>
            <w:vAlign w:val="center"/>
          </w:tcPr>
          <w:p w14:paraId="01ECDEAB"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1</w:t>
            </w:r>
          </w:p>
        </w:tc>
        <w:tc>
          <w:tcPr>
            <w:tcW w:w="2849" w:type="dxa"/>
            <w:shd w:val="clear" w:color="auto" w:fill="D9E2F3" w:themeFill="accent5" w:themeFillTint="33"/>
          </w:tcPr>
          <w:p w14:paraId="7726F9B5" w14:textId="77777777" w:rsidR="00216BD5" w:rsidRPr="00477BD4" w:rsidRDefault="00216BD5" w:rsidP="006703BB">
            <w:pPr>
              <w:jc w:val="left"/>
              <w:rPr>
                <w:rFonts w:eastAsiaTheme="minorHAnsi" w:cstheme="minorBidi"/>
                <w:sz w:val="24"/>
                <w:szCs w:val="24"/>
                <w:lang w:eastAsia="en-US"/>
              </w:rPr>
            </w:pPr>
            <w:r w:rsidRPr="00477BD4">
              <w:rPr>
                <w:rFonts w:eastAsiaTheme="minorHAnsi" w:cstheme="minorBidi"/>
                <w:sz w:val="24"/>
                <w:szCs w:val="24"/>
                <w:lang w:eastAsia="en-US"/>
              </w:rPr>
              <w:t xml:space="preserve">§ 89 Povinnosť na vy-danie veci, </w:t>
            </w:r>
          </w:p>
          <w:p w14:paraId="2D468410" w14:textId="77777777" w:rsidR="00216BD5" w:rsidRPr="00477BD4" w:rsidRDefault="00216BD5" w:rsidP="006703BB">
            <w:pPr>
              <w:jc w:val="left"/>
              <w:rPr>
                <w:rFonts w:eastAsiaTheme="minorHAnsi" w:cstheme="minorBidi"/>
                <w:sz w:val="24"/>
                <w:szCs w:val="24"/>
                <w:lang w:eastAsia="en-US"/>
              </w:rPr>
            </w:pPr>
            <w:r w:rsidRPr="00477BD4">
              <w:rPr>
                <w:rFonts w:eastAsiaTheme="minorHAnsi" w:cstheme="minorBidi"/>
                <w:sz w:val="24"/>
                <w:szCs w:val="24"/>
                <w:lang w:eastAsia="en-US"/>
              </w:rPr>
              <w:t xml:space="preserve">§ 91 Odňatie veci, </w:t>
            </w:r>
          </w:p>
          <w:p w14:paraId="054530CF" w14:textId="77777777" w:rsidR="00216BD5" w:rsidRPr="00477BD4" w:rsidRDefault="00216BD5" w:rsidP="006703BB">
            <w:pPr>
              <w:jc w:val="left"/>
              <w:rPr>
                <w:rFonts w:eastAsiaTheme="minorHAnsi" w:cstheme="minorBidi"/>
                <w:sz w:val="24"/>
                <w:szCs w:val="24"/>
                <w:lang w:eastAsia="en-US"/>
              </w:rPr>
            </w:pPr>
            <w:r w:rsidRPr="00477BD4">
              <w:rPr>
                <w:rFonts w:eastAsiaTheme="minorHAnsi" w:cstheme="minorBidi"/>
                <w:sz w:val="24"/>
                <w:szCs w:val="24"/>
                <w:lang w:eastAsia="en-US"/>
              </w:rPr>
              <w:t>§ 92 Prevzatie zaistenej veci</w:t>
            </w:r>
          </w:p>
        </w:tc>
        <w:tc>
          <w:tcPr>
            <w:tcW w:w="865" w:type="dxa"/>
            <w:shd w:val="clear" w:color="auto" w:fill="D9E2F3" w:themeFill="accent5" w:themeFillTint="33"/>
            <w:vAlign w:val="center"/>
          </w:tcPr>
          <w:p w14:paraId="4A6E2441"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9960</w:t>
            </w:r>
          </w:p>
        </w:tc>
        <w:tc>
          <w:tcPr>
            <w:tcW w:w="1833" w:type="dxa"/>
            <w:shd w:val="clear" w:color="auto" w:fill="D9E2F3" w:themeFill="accent5" w:themeFillTint="33"/>
            <w:vAlign w:val="center"/>
          </w:tcPr>
          <w:p w14:paraId="7E71AE25"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8.506.901</w:t>
            </w:r>
          </w:p>
        </w:tc>
        <w:tc>
          <w:tcPr>
            <w:tcW w:w="1280" w:type="dxa"/>
            <w:shd w:val="clear" w:color="auto" w:fill="D9E2F3" w:themeFill="accent5" w:themeFillTint="33"/>
            <w:vAlign w:val="center"/>
          </w:tcPr>
          <w:p w14:paraId="6A32CE28"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31</w:t>
            </w:r>
          </w:p>
        </w:tc>
        <w:tc>
          <w:tcPr>
            <w:tcW w:w="1843" w:type="dxa"/>
            <w:shd w:val="clear" w:color="auto" w:fill="D9E2F3" w:themeFill="accent5" w:themeFillTint="33"/>
            <w:vAlign w:val="center"/>
          </w:tcPr>
          <w:p w14:paraId="3A1BB304"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756.080</w:t>
            </w:r>
          </w:p>
        </w:tc>
      </w:tr>
      <w:tr w:rsidR="00216BD5" w:rsidRPr="00477BD4" w14:paraId="5B1A3DA2" w14:textId="77777777" w:rsidTr="00A433FE">
        <w:trPr>
          <w:trHeight w:val="608"/>
          <w:jc w:val="center"/>
        </w:trPr>
        <w:tc>
          <w:tcPr>
            <w:tcW w:w="422" w:type="dxa"/>
            <w:shd w:val="clear" w:color="auto" w:fill="D9E2F3" w:themeFill="accent5" w:themeFillTint="33"/>
            <w:vAlign w:val="center"/>
          </w:tcPr>
          <w:p w14:paraId="0E3B3DB0"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2</w:t>
            </w:r>
          </w:p>
        </w:tc>
        <w:tc>
          <w:tcPr>
            <w:tcW w:w="2849" w:type="dxa"/>
            <w:shd w:val="clear" w:color="auto" w:fill="D9E2F3" w:themeFill="accent5" w:themeFillTint="33"/>
          </w:tcPr>
          <w:p w14:paraId="11BA4808" w14:textId="77777777" w:rsidR="00216BD5" w:rsidRPr="00477BD4" w:rsidRDefault="00216BD5" w:rsidP="006703BB">
            <w:pPr>
              <w:jc w:val="left"/>
              <w:rPr>
                <w:rFonts w:eastAsiaTheme="minorHAnsi" w:cstheme="minorBidi"/>
                <w:sz w:val="24"/>
                <w:szCs w:val="24"/>
                <w:lang w:eastAsia="en-US"/>
              </w:rPr>
            </w:pPr>
            <w:r w:rsidRPr="00477BD4">
              <w:rPr>
                <w:rFonts w:eastAsiaTheme="minorHAnsi" w:cstheme="minorBidi"/>
                <w:sz w:val="24"/>
                <w:szCs w:val="24"/>
                <w:lang w:eastAsia="en-US"/>
              </w:rPr>
              <w:t>§ 95 Zaistenie peňažných prostriedkov</w:t>
            </w:r>
          </w:p>
        </w:tc>
        <w:tc>
          <w:tcPr>
            <w:tcW w:w="865" w:type="dxa"/>
            <w:shd w:val="clear" w:color="auto" w:fill="D9E2F3" w:themeFill="accent5" w:themeFillTint="33"/>
            <w:vAlign w:val="center"/>
          </w:tcPr>
          <w:p w14:paraId="326A0C23"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198</w:t>
            </w:r>
          </w:p>
        </w:tc>
        <w:tc>
          <w:tcPr>
            <w:tcW w:w="1833" w:type="dxa"/>
            <w:shd w:val="clear" w:color="auto" w:fill="D9E2F3" w:themeFill="accent5" w:themeFillTint="33"/>
            <w:vAlign w:val="center"/>
          </w:tcPr>
          <w:p w14:paraId="29605B28" w14:textId="4E1A1505"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4.215.073</w:t>
            </w:r>
          </w:p>
        </w:tc>
        <w:tc>
          <w:tcPr>
            <w:tcW w:w="1280" w:type="dxa"/>
            <w:shd w:val="clear" w:color="auto" w:fill="D9E2F3" w:themeFill="accent5" w:themeFillTint="33"/>
            <w:vAlign w:val="center"/>
          </w:tcPr>
          <w:p w14:paraId="7095C919"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22</w:t>
            </w:r>
          </w:p>
        </w:tc>
        <w:tc>
          <w:tcPr>
            <w:tcW w:w="1843" w:type="dxa"/>
            <w:shd w:val="clear" w:color="auto" w:fill="D9E2F3" w:themeFill="accent5" w:themeFillTint="33"/>
            <w:vAlign w:val="center"/>
          </w:tcPr>
          <w:p w14:paraId="3D50AD6F"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3.012.736</w:t>
            </w:r>
          </w:p>
        </w:tc>
      </w:tr>
      <w:tr w:rsidR="00216BD5" w:rsidRPr="00477BD4" w14:paraId="411DE752" w14:textId="77777777" w:rsidTr="00A433FE">
        <w:trPr>
          <w:trHeight w:val="918"/>
          <w:jc w:val="center"/>
        </w:trPr>
        <w:tc>
          <w:tcPr>
            <w:tcW w:w="422" w:type="dxa"/>
            <w:shd w:val="clear" w:color="auto" w:fill="D9E2F3" w:themeFill="accent5" w:themeFillTint="33"/>
            <w:vAlign w:val="center"/>
          </w:tcPr>
          <w:p w14:paraId="18BB668A"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3</w:t>
            </w:r>
          </w:p>
        </w:tc>
        <w:tc>
          <w:tcPr>
            <w:tcW w:w="2849" w:type="dxa"/>
            <w:shd w:val="clear" w:color="auto" w:fill="D9E2F3" w:themeFill="accent5" w:themeFillTint="33"/>
          </w:tcPr>
          <w:p w14:paraId="68598B2E" w14:textId="77777777" w:rsidR="00216BD5" w:rsidRPr="00477BD4" w:rsidRDefault="00216BD5" w:rsidP="006703BB">
            <w:pPr>
              <w:jc w:val="left"/>
              <w:rPr>
                <w:rFonts w:eastAsiaTheme="minorHAnsi" w:cstheme="minorBidi"/>
                <w:sz w:val="24"/>
                <w:szCs w:val="24"/>
                <w:lang w:eastAsia="en-US"/>
              </w:rPr>
            </w:pPr>
            <w:r w:rsidRPr="00477BD4">
              <w:rPr>
                <w:rFonts w:eastAsiaTheme="minorHAnsi" w:cstheme="minorBidi"/>
                <w:sz w:val="24"/>
                <w:szCs w:val="24"/>
                <w:lang w:eastAsia="en-US"/>
              </w:rPr>
              <w:t xml:space="preserve">§ 96 Zaistenie </w:t>
            </w:r>
          </w:p>
          <w:p w14:paraId="4E3D55C0" w14:textId="77777777" w:rsidR="00216BD5" w:rsidRPr="00477BD4" w:rsidRDefault="00216BD5" w:rsidP="006703BB">
            <w:pPr>
              <w:jc w:val="left"/>
              <w:rPr>
                <w:rFonts w:eastAsiaTheme="minorHAnsi" w:cstheme="minorBidi"/>
                <w:sz w:val="24"/>
                <w:szCs w:val="24"/>
                <w:lang w:eastAsia="en-US"/>
              </w:rPr>
            </w:pPr>
            <w:r w:rsidRPr="00477BD4">
              <w:rPr>
                <w:rFonts w:eastAsiaTheme="minorHAnsi" w:cstheme="minorBidi"/>
                <w:sz w:val="24"/>
                <w:szCs w:val="24"/>
                <w:lang w:eastAsia="en-US"/>
              </w:rPr>
              <w:t>zaknihovaných cenných papierov</w:t>
            </w:r>
          </w:p>
        </w:tc>
        <w:tc>
          <w:tcPr>
            <w:tcW w:w="865" w:type="dxa"/>
            <w:shd w:val="clear" w:color="auto" w:fill="D9E2F3" w:themeFill="accent5" w:themeFillTint="33"/>
            <w:vAlign w:val="center"/>
          </w:tcPr>
          <w:p w14:paraId="220F9220"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1</w:t>
            </w:r>
          </w:p>
        </w:tc>
        <w:tc>
          <w:tcPr>
            <w:tcW w:w="1833" w:type="dxa"/>
            <w:shd w:val="clear" w:color="auto" w:fill="D9E2F3" w:themeFill="accent5" w:themeFillTint="33"/>
            <w:vAlign w:val="center"/>
          </w:tcPr>
          <w:p w14:paraId="4A659444"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x</w:t>
            </w:r>
          </w:p>
        </w:tc>
        <w:tc>
          <w:tcPr>
            <w:tcW w:w="1280" w:type="dxa"/>
            <w:shd w:val="clear" w:color="auto" w:fill="D9E2F3" w:themeFill="accent5" w:themeFillTint="33"/>
            <w:vAlign w:val="center"/>
          </w:tcPr>
          <w:p w14:paraId="35F5C8D9"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0</w:t>
            </w:r>
          </w:p>
        </w:tc>
        <w:tc>
          <w:tcPr>
            <w:tcW w:w="1843" w:type="dxa"/>
            <w:shd w:val="clear" w:color="auto" w:fill="D9E2F3" w:themeFill="accent5" w:themeFillTint="33"/>
            <w:vAlign w:val="center"/>
          </w:tcPr>
          <w:p w14:paraId="312705FF"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0</w:t>
            </w:r>
          </w:p>
        </w:tc>
      </w:tr>
      <w:tr w:rsidR="00216BD5" w:rsidRPr="00477BD4" w14:paraId="0FBF026B" w14:textId="77777777" w:rsidTr="00A433FE">
        <w:trPr>
          <w:trHeight w:val="464"/>
          <w:jc w:val="center"/>
        </w:trPr>
        <w:tc>
          <w:tcPr>
            <w:tcW w:w="422" w:type="dxa"/>
            <w:shd w:val="clear" w:color="auto" w:fill="D9E2F3" w:themeFill="accent5" w:themeFillTint="33"/>
            <w:vAlign w:val="center"/>
          </w:tcPr>
          <w:p w14:paraId="33400CE8" w14:textId="77777777" w:rsidR="00216BD5" w:rsidRPr="00477BD4" w:rsidRDefault="00216BD5" w:rsidP="006703BB">
            <w:pPr>
              <w:spacing w:line="360" w:lineRule="auto"/>
              <w:jc w:val="center"/>
              <w:rPr>
                <w:rFonts w:eastAsiaTheme="minorHAnsi" w:cstheme="minorBidi"/>
                <w:sz w:val="24"/>
                <w:szCs w:val="24"/>
                <w:lang w:eastAsia="en-US"/>
              </w:rPr>
            </w:pPr>
            <w:r w:rsidRPr="00477BD4">
              <w:rPr>
                <w:rFonts w:eastAsiaTheme="minorHAnsi" w:cstheme="minorBidi"/>
                <w:sz w:val="24"/>
                <w:szCs w:val="24"/>
                <w:lang w:eastAsia="en-US"/>
              </w:rPr>
              <w:t>4</w:t>
            </w:r>
          </w:p>
        </w:tc>
        <w:tc>
          <w:tcPr>
            <w:tcW w:w="2849" w:type="dxa"/>
            <w:shd w:val="clear" w:color="auto" w:fill="D9E2F3" w:themeFill="accent5" w:themeFillTint="33"/>
            <w:vAlign w:val="center"/>
          </w:tcPr>
          <w:p w14:paraId="3B3BEB23" w14:textId="77777777" w:rsidR="00216BD5" w:rsidRPr="00477BD4" w:rsidRDefault="00216BD5" w:rsidP="006703BB">
            <w:pPr>
              <w:spacing w:line="360" w:lineRule="auto"/>
              <w:jc w:val="left"/>
              <w:rPr>
                <w:rFonts w:eastAsiaTheme="minorHAnsi" w:cstheme="minorBidi"/>
                <w:sz w:val="24"/>
                <w:szCs w:val="24"/>
                <w:lang w:eastAsia="en-US"/>
              </w:rPr>
            </w:pPr>
            <w:r w:rsidRPr="00477BD4">
              <w:rPr>
                <w:rFonts w:eastAsiaTheme="minorHAnsi" w:cstheme="minorBidi"/>
                <w:sz w:val="24"/>
                <w:szCs w:val="24"/>
                <w:lang w:eastAsia="en-US"/>
              </w:rPr>
              <w:t>§ 97 Vrátenie veci</w:t>
            </w:r>
          </w:p>
        </w:tc>
        <w:tc>
          <w:tcPr>
            <w:tcW w:w="865" w:type="dxa"/>
            <w:shd w:val="clear" w:color="auto" w:fill="D9E2F3" w:themeFill="accent5" w:themeFillTint="33"/>
            <w:vAlign w:val="center"/>
          </w:tcPr>
          <w:p w14:paraId="04B862CD" w14:textId="77777777" w:rsidR="00216BD5" w:rsidRPr="00477BD4" w:rsidRDefault="00216BD5" w:rsidP="006703BB">
            <w:pPr>
              <w:spacing w:line="360" w:lineRule="auto"/>
              <w:jc w:val="center"/>
              <w:rPr>
                <w:rFonts w:eastAsiaTheme="minorHAnsi" w:cstheme="minorBidi"/>
                <w:sz w:val="24"/>
                <w:szCs w:val="24"/>
                <w:lang w:eastAsia="en-US"/>
              </w:rPr>
            </w:pPr>
            <w:r w:rsidRPr="00477BD4">
              <w:rPr>
                <w:rFonts w:eastAsiaTheme="minorHAnsi" w:cstheme="minorBidi"/>
                <w:sz w:val="24"/>
                <w:szCs w:val="24"/>
                <w:lang w:eastAsia="en-US"/>
              </w:rPr>
              <w:t>5119</w:t>
            </w:r>
          </w:p>
        </w:tc>
        <w:tc>
          <w:tcPr>
            <w:tcW w:w="1833" w:type="dxa"/>
            <w:shd w:val="clear" w:color="auto" w:fill="D9E2F3" w:themeFill="accent5" w:themeFillTint="33"/>
            <w:vAlign w:val="center"/>
          </w:tcPr>
          <w:p w14:paraId="30B31815" w14:textId="77777777" w:rsidR="00216BD5" w:rsidRPr="00477BD4" w:rsidRDefault="00216BD5" w:rsidP="006703BB">
            <w:pPr>
              <w:spacing w:line="360" w:lineRule="auto"/>
              <w:jc w:val="center"/>
              <w:rPr>
                <w:rFonts w:eastAsiaTheme="minorHAnsi" w:cstheme="minorBidi"/>
                <w:sz w:val="24"/>
                <w:szCs w:val="24"/>
                <w:lang w:eastAsia="en-US"/>
              </w:rPr>
            </w:pPr>
            <w:r w:rsidRPr="00477BD4">
              <w:rPr>
                <w:rFonts w:eastAsiaTheme="minorHAnsi" w:cstheme="minorBidi"/>
                <w:sz w:val="24"/>
                <w:szCs w:val="24"/>
                <w:lang w:eastAsia="en-US"/>
              </w:rPr>
              <w:t>4.412.251</w:t>
            </w:r>
          </w:p>
        </w:tc>
        <w:tc>
          <w:tcPr>
            <w:tcW w:w="1280" w:type="dxa"/>
            <w:shd w:val="clear" w:color="auto" w:fill="D9E2F3" w:themeFill="accent5" w:themeFillTint="33"/>
            <w:vAlign w:val="center"/>
          </w:tcPr>
          <w:p w14:paraId="61AFADA7" w14:textId="77777777" w:rsidR="00216BD5" w:rsidRPr="00477BD4" w:rsidRDefault="00216BD5" w:rsidP="006703BB">
            <w:pPr>
              <w:spacing w:line="360" w:lineRule="auto"/>
              <w:jc w:val="center"/>
              <w:rPr>
                <w:rFonts w:eastAsiaTheme="minorHAnsi" w:cstheme="minorBidi"/>
                <w:sz w:val="24"/>
                <w:szCs w:val="24"/>
                <w:lang w:eastAsia="en-US"/>
              </w:rPr>
            </w:pPr>
            <w:r w:rsidRPr="00477BD4">
              <w:rPr>
                <w:rFonts w:eastAsiaTheme="minorHAnsi" w:cstheme="minorBidi"/>
                <w:sz w:val="24"/>
                <w:szCs w:val="24"/>
                <w:lang w:eastAsia="en-US"/>
              </w:rPr>
              <w:t>73</w:t>
            </w:r>
          </w:p>
        </w:tc>
        <w:tc>
          <w:tcPr>
            <w:tcW w:w="1843" w:type="dxa"/>
            <w:shd w:val="clear" w:color="auto" w:fill="D9E2F3" w:themeFill="accent5" w:themeFillTint="33"/>
            <w:vAlign w:val="center"/>
          </w:tcPr>
          <w:p w14:paraId="2BA5B935" w14:textId="77777777" w:rsidR="00216BD5" w:rsidRPr="00477BD4" w:rsidRDefault="00216BD5" w:rsidP="006703BB">
            <w:pPr>
              <w:spacing w:line="360" w:lineRule="auto"/>
              <w:jc w:val="center"/>
              <w:rPr>
                <w:rFonts w:eastAsiaTheme="minorHAnsi" w:cstheme="minorBidi"/>
                <w:sz w:val="24"/>
                <w:szCs w:val="24"/>
                <w:lang w:eastAsia="en-US"/>
              </w:rPr>
            </w:pPr>
            <w:r w:rsidRPr="00477BD4">
              <w:rPr>
                <w:rFonts w:eastAsiaTheme="minorHAnsi" w:cstheme="minorBidi"/>
                <w:sz w:val="24"/>
                <w:szCs w:val="24"/>
                <w:lang w:eastAsia="en-US"/>
              </w:rPr>
              <w:t>311.644</w:t>
            </w:r>
          </w:p>
        </w:tc>
      </w:tr>
      <w:tr w:rsidR="00216BD5" w:rsidRPr="00477BD4" w14:paraId="108B67DD" w14:textId="77777777" w:rsidTr="00A433FE">
        <w:trPr>
          <w:trHeight w:val="907"/>
          <w:jc w:val="center"/>
        </w:trPr>
        <w:tc>
          <w:tcPr>
            <w:tcW w:w="422" w:type="dxa"/>
            <w:shd w:val="clear" w:color="auto" w:fill="D9E2F3" w:themeFill="accent5" w:themeFillTint="33"/>
            <w:vAlign w:val="center"/>
          </w:tcPr>
          <w:p w14:paraId="2DCC8662"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5</w:t>
            </w:r>
          </w:p>
        </w:tc>
        <w:tc>
          <w:tcPr>
            <w:tcW w:w="2849" w:type="dxa"/>
            <w:shd w:val="clear" w:color="auto" w:fill="D9E2F3" w:themeFill="accent5" w:themeFillTint="33"/>
          </w:tcPr>
          <w:p w14:paraId="1A4C2A55" w14:textId="112AA980" w:rsidR="00216BD5" w:rsidRPr="007C3FD8" w:rsidRDefault="00216BD5" w:rsidP="007C3FD8">
            <w:pPr>
              <w:jc w:val="left"/>
              <w:rPr>
                <w:rFonts w:eastAsiaTheme="minorHAnsi" w:cstheme="minorBidi"/>
                <w:sz w:val="24"/>
                <w:szCs w:val="24"/>
                <w:vertAlign w:val="superscript"/>
                <w:lang w:eastAsia="en-US"/>
              </w:rPr>
            </w:pPr>
            <w:r w:rsidRPr="00477BD4">
              <w:rPr>
                <w:rFonts w:eastAsiaTheme="minorHAnsi" w:cstheme="minorBidi"/>
                <w:sz w:val="24"/>
                <w:szCs w:val="24"/>
                <w:lang w:eastAsia="en-US"/>
              </w:rPr>
              <w:t>§ 550 Odovzdanie veci (právna pomoc vo vzťahu k cudzine)</w:t>
            </w:r>
            <w:r w:rsidR="007C3FD8">
              <w:rPr>
                <w:rFonts w:eastAsiaTheme="minorHAnsi" w:cstheme="minorBidi"/>
                <w:sz w:val="24"/>
                <w:szCs w:val="24"/>
                <w:lang w:eastAsia="en-US"/>
              </w:rPr>
              <w:t xml:space="preserve"> </w:t>
            </w:r>
            <w:r w:rsidR="007C3FD8">
              <w:rPr>
                <w:rFonts w:eastAsiaTheme="minorHAnsi" w:cstheme="minorBidi"/>
                <w:sz w:val="24"/>
                <w:szCs w:val="24"/>
                <w:vertAlign w:val="superscript"/>
                <w:lang w:eastAsia="en-US"/>
              </w:rPr>
              <w:t>*</w:t>
            </w:r>
          </w:p>
        </w:tc>
        <w:tc>
          <w:tcPr>
            <w:tcW w:w="865" w:type="dxa"/>
            <w:shd w:val="clear" w:color="auto" w:fill="D9E2F3" w:themeFill="accent5" w:themeFillTint="33"/>
            <w:vAlign w:val="center"/>
          </w:tcPr>
          <w:p w14:paraId="7700B25A" w14:textId="7CE50B9D" w:rsidR="00216BD5" w:rsidRPr="00477BD4" w:rsidRDefault="007C3FD8" w:rsidP="006703BB">
            <w:pPr>
              <w:jc w:val="center"/>
              <w:rPr>
                <w:rFonts w:eastAsiaTheme="minorHAnsi" w:cstheme="minorBidi"/>
                <w:sz w:val="24"/>
                <w:szCs w:val="24"/>
                <w:lang w:eastAsia="en-US"/>
              </w:rPr>
            </w:pPr>
            <w:r>
              <w:rPr>
                <w:rFonts w:eastAsiaTheme="minorHAnsi" w:cstheme="minorBidi"/>
                <w:sz w:val="24"/>
                <w:szCs w:val="24"/>
                <w:lang w:eastAsia="en-US"/>
              </w:rPr>
              <w:t>37</w:t>
            </w:r>
          </w:p>
        </w:tc>
        <w:tc>
          <w:tcPr>
            <w:tcW w:w="1833" w:type="dxa"/>
            <w:shd w:val="clear" w:color="auto" w:fill="D9E2F3" w:themeFill="accent5" w:themeFillTint="33"/>
            <w:vAlign w:val="center"/>
          </w:tcPr>
          <w:p w14:paraId="70C71EBA" w14:textId="79FB7C45" w:rsidR="00216BD5" w:rsidRPr="00477BD4" w:rsidRDefault="007C3FD8" w:rsidP="006703BB">
            <w:pPr>
              <w:jc w:val="center"/>
              <w:rPr>
                <w:rFonts w:eastAsiaTheme="minorHAnsi" w:cstheme="minorBidi"/>
                <w:sz w:val="24"/>
                <w:szCs w:val="24"/>
                <w:lang w:eastAsia="en-US"/>
              </w:rPr>
            </w:pPr>
            <w:r>
              <w:rPr>
                <w:rFonts w:eastAsiaTheme="minorHAnsi" w:cstheme="minorBidi"/>
                <w:sz w:val="24"/>
                <w:szCs w:val="24"/>
                <w:lang w:eastAsia="en-US"/>
              </w:rPr>
              <w:t>17.023</w:t>
            </w:r>
          </w:p>
        </w:tc>
        <w:tc>
          <w:tcPr>
            <w:tcW w:w="1280" w:type="dxa"/>
            <w:shd w:val="clear" w:color="auto" w:fill="D9E2F3" w:themeFill="accent5" w:themeFillTint="33"/>
            <w:vAlign w:val="center"/>
          </w:tcPr>
          <w:p w14:paraId="21F2C553" w14:textId="2FAC778F" w:rsidR="00216BD5" w:rsidRPr="00477BD4" w:rsidRDefault="003C2354" w:rsidP="006703BB">
            <w:pPr>
              <w:jc w:val="center"/>
              <w:rPr>
                <w:rFonts w:eastAsiaTheme="minorHAnsi" w:cstheme="minorBidi"/>
                <w:sz w:val="24"/>
                <w:szCs w:val="24"/>
                <w:lang w:eastAsia="en-US"/>
              </w:rPr>
            </w:pPr>
            <w:r>
              <w:rPr>
                <w:rFonts w:eastAsiaTheme="minorHAnsi" w:cstheme="minorBidi"/>
                <w:sz w:val="24"/>
                <w:szCs w:val="24"/>
                <w:lang w:eastAsia="en-US"/>
              </w:rPr>
              <w:t>2</w:t>
            </w:r>
          </w:p>
        </w:tc>
        <w:tc>
          <w:tcPr>
            <w:tcW w:w="1843" w:type="dxa"/>
            <w:shd w:val="clear" w:color="auto" w:fill="D9E2F3" w:themeFill="accent5" w:themeFillTint="33"/>
            <w:vAlign w:val="center"/>
          </w:tcPr>
          <w:p w14:paraId="7988CF73" w14:textId="06738843" w:rsidR="00216BD5" w:rsidRPr="00477BD4" w:rsidRDefault="003C2354" w:rsidP="006703BB">
            <w:pPr>
              <w:jc w:val="center"/>
              <w:rPr>
                <w:rFonts w:eastAsiaTheme="minorHAnsi" w:cstheme="minorBidi"/>
                <w:sz w:val="24"/>
                <w:szCs w:val="24"/>
                <w:lang w:eastAsia="en-US"/>
              </w:rPr>
            </w:pPr>
            <w:r>
              <w:rPr>
                <w:rFonts w:eastAsiaTheme="minorHAnsi" w:cstheme="minorBidi"/>
                <w:sz w:val="24"/>
                <w:szCs w:val="24"/>
                <w:lang w:eastAsia="en-US"/>
              </w:rPr>
              <w:t>14.883</w:t>
            </w:r>
          </w:p>
        </w:tc>
      </w:tr>
      <w:tr w:rsidR="00216BD5" w:rsidRPr="00477BD4" w14:paraId="124E914E" w14:textId="77777777" w:rsidTr="00A433FE">
        <w:trPr>
          <w:trHeight w:val="918"/>
          <w:jc w:val="center"/>
        </w:trPr>
        <w:tc>
          <w:tcPr>
            <w:tcW w:w="422" w:type="dxa"/>
            <w:shd w:val="clear" w:color="auto" w:fill="D9E2F3" w:themeFill="accent5" w:themeFillTint="33"/>
            <w:vAlign w:val="center"/>
          </w:tcPr>
          <w:p w14:paraId="4F1C5124" w14:textId="77777777" w:rsidR="00216BD5" w:rsidRPr="00477BD4" w:rsidRDefault="00216BD5" w:rsidP="006703BB">
            <w:pPr>
              <w:jc w:val="center"/>
              <w:rPr>
                <w:rFonts w:eastAsiaTheme="minorHAnsi" w:cstheme="minorBidi"/>
                <w:sz w:val="24"/>
                <w:szCs w:val="24"/>
                <w:lang w:eastAsia="en-US"/>
              </w:rPr>
            </w:pPr>
            <w:r w:rsidRPr="00477BD4">
              <w:rPr>
                <w:rFonts w:eastAsiaTheme="minorHAnsi" w:cstheme="minorBidi"/>
                <w:sz w:val="24"/>
                <w:szCs w:val="24"/>
                <w:lang w:eastAsia="en-US"/>
              </w:rPr>
              <w:t>6</w:t>
            </w:r>
          </w:p>
        </w:tc>
        <w:tc>
          <w:tcPr>
            <w:tcW w:w="2849" w:type="dxa"/>
            <w:shd w:val="clear" w:color="auto" w:fill="D9E2F3" w:themeFill="accent5" w:themeFillTint="33"/>
          </w:tcPr>
          <w:p w14:paraId="0C61B357" w14:textId="719090F0" w:rsidR="00216BD5" w:rsidRPr="00477BD4" w:rsidRDefault="00216BD5" w:rsidP="006703BB">
            <w:pPr>
              <w:jc w:val="left"/>
              <w:rPr>
                <w:rFonts w:eastAsiaTheme="minorHAnsi" w:cstheme="minorBidi"/>
                <w:sz w:val="24"/>
                <w:szCs w:val="24"/>
                <w:lang w:eastAsia="en-US"/>
              </w:rPr>
            </w:pPr>
            <w:r w:rsidRPr="00477BD4">
              <w:rPr>
                <w:rFonts w:eastAsiaTheme="minorHAnsi" w:cstheme="minorBidi"/>
                <w:sz w:val="24"/>
                <w:szCs w:val="24"/>
                <w:lang w:eastAsia="en-US"/>
              </w:rPr>
              <w:t xml:space="preserve">§ 551 </w:t>
            </w:r>
            <w:r w:rsidR="00A433FE">
              <w:rPr>
                <w:rFonts w:eastAsiaTheme="minorHAnsi" w:cstheme="minorBidi"/>
                <w:sz w:val="24"/>
                <w:szCs w:val="24"/>
                <w:lang w:eastAsia="en-US"/>
              </w:rPr>
              <w:t xml:space="preserve"> a zákon č. 650/2005 Z. z. </w:t>
            </w:r>
            <w:r w:rsidRPr="00477BD4">
              <w:rPr>
                <w:rFonts w:eastAsiaTheme="minorHAnsi" w:cstheme="minorBidi"/>
                <w:sz w:val="24"/>
                <w:szCs w:val="24"/>
                <w:lang w:eastAsia="en-US"/>
              </w:rPr>
              <w:t>Zaistenie majetku (právna pomoc vo vzťahu k cudzine)</w:t>
            </w:r>
            <w:r w:rsidR="007C3FD8">
              <w:rPr>
                <w:rFonts w:eastAsiaTheme="minorHAnsi" w:cstheme="minorBidi"/>
                <w:sz w:val="24"/>
                <w:szCs w:val="24"/>
                <w:lang w:eastAsia="en-US"/>
              </w:rPr>
              <w:t xml:space="preserve"> </w:t>
            </w:r>
            <w:r w:rsidR="007C3FD8">
              <w:rPr>
                <w:rFonts w:eastAsiaTheme="minorHAnsi" w:cstheme="minorBidi"/>
                <w:sz w:val="24"/>
                <w:szCs w:val="24"/>
                <w:vertAlign w:val="superscript"/>
                <w:lang w:eastAsia="en-US"/>
              </w:rPr>
              <w:t>*</w:t>
            </w:r>
            <w:r w:rsidRPr="00477BD4">
              <w:rPr>
                <w:rFonts w:eastAsiaTheme="minorHAnsi" w:cstheme="minorBidi"/>
                <w:sz w:val="24"/>
                <w:szCs w:val="24"/>
                <w:lang w:eastAsia="en-US"/>
              </w:rPr>
              <w:t xml:space="preserve"> </w:t>
            </w:r>
          </w:p>
        </w:tc>
        <w:tc>
          <w:tcPr>
            <w:tcW w:w="865" w:type="dxa"/>
            <w:shd w:val="clear" w:color="auto" w:fill="D9E2F3" w:themeFill="accent5" w:themeFillTint="33"/>
            <w:vAlign w:val="center"/>
          </w:tcPr>
          <w:p w14:paraId="1B29BB3E" w14:textId="2563908E" w:rsidR="00216BD5" w:rsidRPr="00477BD4" w:rsidRDefault="003C2354" w:rsidP="006703BB">
            <w:pPr>
              <w:jc w:val="center"/>
              <w:rPr>
                <w:rFonts w:eastAsiaTheme="minorHAnsi" w:cstheme="minorBidi"/>
                <w:sz w:val="24"/>
                <w:szCs w:val="24"/>
                <w:lang w:eastAsia="en-US"/>
              </w:rPr>
            </w:pPr>
            <w:r>
              <w:rPr>
                <w:rFonts w:eastAsiaTheme="minorHAnsi" w:cstheme="minorBidi"/>
                <w:sz w:val="24"/>
                <w:szCs w:val="24"/>
                <w:lang w:eastAsia="en-US"/>
              </w:rPr>
              <w:t>24</w:t>
            </w:r>
          </w:p>
        </w:tc>
        <w:tc>
          <w:tcPr>
            <w:tcW w:w="1833" w:type="dxa"/>
            <w:shd w:val="clear" w:color="auto" w:fill="D9E2F3" w:themeFill="accent5" w:themeFillTint="33"/>
            <w:vAlign w:val="center"/>
          </w:tcPr>
          <w:p w14:paraId="2B00FA90" w14:textId="4E7312FE" w:rsidR="00216BD5" w:rsidRPr="00477BD4" w:rsidRDefault="003C2354" w:rsidP="006703BB">
            <w:pPr>
              <w:jc w:val="center"/>
              <w:rPr>
                <w:rFonts w:eastAsiaTheme="minorHAnsi" w:cstheme="minorBidi"/>
                <w:sz w:val="24"/>
                <w:szCs w:val="24"/>
                <w:lang w:eastAsia="en-US"/>
              </w:rPr>
            </w:pPr>
            <w:r>
              <w:rPr>
                <w:rFonts w:eastAsiaTheme="minorHAnsi" w:cstheme="minorBidi"/>
                <w:sz w:val="24"/>
                <w:szCs w:val="24"/>
                <w:lang w:eastAsia="en-US"/>
              </w:rPr>
              <w:t>5.480.318,56</w:t>
            </w:r>
          </w:p>
        </w:tc>
        <w:tc>
          <w:tcPr>
            <w:tcW w:w="1280" w:type="dxa"/>
            <w:shd w:val="clear" w:color="auto" w:fill="D9E2F3" w:themeFill="accent5" w:themeFillTint="33"/>
            <w:vAlign w:val="center"/>
          </w:tcPr>
          <w:p w14:paraId="5F993343" w14:textId="59F04CE1" w:rsidR="00216BD5" w:rsidRPr="00477BD4" w:rsidRDefault="00A433FE" w:rsidP="006703BB">
            <w:pPr>
              <w:jc w:val="center"/>
              <w:rPr>
                <w:rFonts w:eastAsiaTheme="minorHAnsi" w:cstheme="minorBidi"/>
                <w:sz w:val="24"/>
                <w:szCs w:val="24"/>
                <w:lang w:eastAsia="en-US"/>
              </w:rPr>
            </w:pPr>
            <w:r>
              <w:rPr>
                <w:rFonts w:eastAsiaTheme="minorHAnsi" w:cstheme="minorBidi"/>
                <w:sz w:val="24"/>
                <w:szCs w:val="24"/>
                <w:lang w:eastAsia="en-US"/>
              </w:rPr>
              <w:t>7</w:t>
            </w:r>
          </w:p>
        </w:tc>
        <w:tc>
          <w:tcPr>
            <w:tcW w:w="1843" w:type="dxa"/>
            <w:shd w:val="clear" w:color="auto" w:fill="D9E2F3" w:themeFill="accent5" w:themeFillTint="33"/>
            <w:vAlign w:val="center"/>
          </w:tcPr>
          <w:p w14:paraId="13508016" w14:textId="06F5F924" w:rsidR="00216BD5" w:rsidRPr="00477BD4" w:rsidRDefault="003C2354" w:rsidP="006703BB">
            <w:pPr>
              <w:jc w:val="center"/>
              <w:rPr>
                <w:rFonts w:eastAsiaTheme="minorHAnsi" w:cstheme="minorBidi"/>
                <w:sz w:val="24"/>
                <w:szCs w:val="24"/>
                <w:lang w:eastAsia="en-US"/>
              </w:rPr>
            </w:pPr>
            <w:r>
              <w:rPr>
                <w:rFonts w:eastAsiaTheme="minorHAnsi" w:cstheme="minorBidi"/>
                <w:sz w:val="24"/>
                <w:szCs w:val="24"/>
                <w:lang w:eastAsia="en-US"/>
              </w:rPr>
              <w:t>3.524.944,85</w:t>
            </w:r>
          </w:p>
        </w:tc>
      </w:tr>
    </w:tbl>
    <w:p w14:paraId="75020888" w14:textId="6A0E391F" w:rsidR="007C3FD8" w:rsidRDefault="00216BD5" w:rsidP="007C3FD8">
      <w:pPr>
        <w:rPr>
          <w:rFonts w:eastAsiaTheme="minorHAnsi" w:cstheme="minorBidi"/>
          <w:lang w:eastAsia="en-US"/>
        </w:rPr>
      </w:pPr>
      <w:r w:rsidRPr="00477BD4">
        <w:rPr>
          <w:rFonts w:eastAsiaTheme="minorHAnsi" w:cstheme="minorBidi"/>
          <w:lang w:eastAsia="en-US"/>
        </w:rPr>
        <w:t>x – údaj nie je GP SR štatisticky vykazovaný</w:t>
      </w:r>
    </w:p>
    <w:p w14:paraId="5EAF5013" w14:textId="77777777" w:rsidR="007C3FD8" w:rsidRDefault="007C3FD8" w:rsidP="00216BD5">
      <w:r w:rsidRPr="007C3FD8">
        <w:rPr>
          <w:rFonts w:eastAsiaTheme="minorHAnsi" w:cstheme="minorBidi"/>
          <w:lang w:eastAsia="en-US"/>
        </w:rPr>
        <w:t>*</w:t>
      </w:r>
      <w:r>
        <w:t xml:space="preserve">    Údaje v tabuľke opravené dňa 04.05.2015 na základe aktualizovaných a upresnených  údajov z GP  SR a zo  </w:t>
      </w:r>
    </w:p>
    <w:p w14:paraId="2190AC13" w14:textId="3DB639E4" w:rsidR="00216BD5" w:rsidRPr="007C3FD8" w:rsidRDefault="007C3FD8" w:rsidP="00216BD5">
      <w:pPr>
        <w:rPr>
          <w:rFonts w:eastAsiaTheme="minorHAnsi" w:cstheme="minorBidi"/>
          <w:lang w:eastAsia="en-US"/>
        </w:rPr>
      </w:pPr>
      <w:r>
        <w:t xml:space="preserve">      zložiek polície</w:t>
      </w:r>
    </w:p>
    <w:p w14:paraId="46260947" w14:textId="77777777" w:rsidR="00216BD5" w:rsidRPr="00477BD4" w:rsidRDefault="00216BD5" w:rsidP="00216BD5">
      <w:pPr>
        <w:spacing w:after="160"/>
        <w:rPr>
          <w:rFonts w:eastAsiaTheme="minorHAnsi" w:cstheme="minorBidi"/>
          <w:sz w:val="24"/>
          <w:szCs w:val="24"/>
          <w:lang w:eastAsia="en-US"/>
        </w:rPr>
      </w:pPr>
    </w:p>
    <w:p w14:paraId="3C3EC15C" w14:textId="77777777" w:rsidR="00216BD5" w:rsidRPr="00477BD4" w:rsidRDefault="00216BD5" w:rsidP="00216BD5">
      <w:pPr>
        <w:spacing w:after="160"/>
        <w:rPr>
          <w:rFonts w:eastAsiaTheme="minorHAnsi" w:cstheme="minorBidi"/>
          <w:lang w:eastAsia="en-US"/>
        </w:rPr>
        <w:sectPr w:rsidR="00216BD5" w:rsidRPr="00477BD4" w:rsidSect="00E57537">
          <w:pgSz w:w="11906" w:h="16838"/>
          <w:pgMar w:top="1417" w:right="1417" w:bottom="993" w:left="1417" w:header="708" w:footer="708" w:gutter="0"/>
          <w:cols w:space="708"/>
          <w:docGrid w:linePitch="360"/>
        </w:sectPr>
      </w:pPr>
      <w:bookmarkStart w:id="8" w:name="_GoBack"/>
      <w:bookmarkEnd w:id="8"/>
    </w:p>
    <w:p w14:paraId="4E8CB4B9" w14:textId="77777777" w:rsidR="00216BD5" w:rsidRPr="00477BD4" w:rsidRDefault="00216BD5" w:rsidP="00216BD5">
      <w:pPr>
        <w:spacing w:after="160"/>
        <w:ind w:left="284"/>
        <w:rPr>
          <w:rFonts w:eastAsiaTheme="minorHAnsi" w:cstheme="minorBidi"/>
          <w:lang w:eastAsia="en-US"/>
        </w:rPr>
      </w:pPr>
      <w:r w:rsidRPr="00477BD4">
        <w:rPr>
          <w:rFonts w:eastAsiaTheme="minorHAnsi" w:cstheme="minorBidi"/>
          <w:lang w:eastAsia="en-US"/>
        </w:rPr>
        <w:lastRenderedPageBreak/>
        <w:t>Tabuľka č.</w:t>
      </w:r>
      <w:r>
        <w:rPr>
          <w:rFonts w:eastAsiaTheme="minorHAnsi" w:cstheme="minorBidi"/>
          <w:lang w:eastAsia="en-US"/>
        </w:rPr>
        <w:t xml:space="preserve"> 8</w:t>
      </w:r>
      <w:r w:rsidRPr="00477BD4">
        <w:rPr>
          <w:rFonts w:eastAsiaTheme="minorHAnsi" w:cstheme="minorBidi"/>
          <w:lang w:eastAsia="en-US"/>
        </w:rPr>
        <w:t xml:space="preserve">: Štatistické údaje k trestným činom legalizácie príjmov z trestnej činnosti podľa § 233 a § 234 Trestného zákona </w:t>
      </w:r>
    </w:p>
    <w:tbl>
      <w:tblPr>
        <w:tblW w:w="13999" w:type="dxa"/>
        <w:jc w:val="right"/>
        <w:tblCellMar>
          <w:left w:w="70" w:type="dxa"/>
          <w:right w:w="70" w:type="dxa"/>
        </w:tblCellMar>
        <w:tblLook w:val="04A0" w:firstRow="1" w:lastRow="0" w:firstColumn="1" w:lastColumn="0" w:noHBand="0" w:noVBand="1"/>
      </w:tblPr>
      <w:tblGrid>
        <w:gridCol w:w="366"/>
        <w:gridCol w:w="907"/>
        <w:gridCol w:w="976"/>
        <w:gridCol w:w="591"/>
        <w:gridCol w:w="579"/>
        <w:gridCol w:w="1040"/>
        <w:gridCol w:w="617"/>
        <w:gridCol w:w="579"/>
        <w:gridCol w:w="1048"/>
        <w:gridCol w:w="683"/>
        <w:gridCol w:w="340"/>
        <w:gridCol w:w="336"/>
        <w:gridCol w:w="711"/>
        <w:gridCol w:w="340"/>
        <w:gridCol w:w="274"/>
        <w:gridCol w:w="743"/>
        <w:gridCol w:w="665"/>
        <w:gridCol w:w="690"/>
        <w:gridCol w:w="838"/>
        <w:gridCol w:w="838"/>
        <w:gridCol w:w="838"/>
      </w:tblGrid>
      <w:tr w:rsidR="00216BD5" w:rsidRPr="00477BD4" w14:paraId="701E86DF" w14:textId="77777777" w:rsidTr="006703BB">
        <w:trPr>
          <w:trHeight w:val="310"/>
          <w:jc w:val="right"/>
        </w:trPr>
        <w:tc>
          <w:tcPr>
            <w:tcW w:w="366" w:type="dxa"/>
            <w:vMerge w:val="restart"/>
            <w:tcBorders>
              <w:top w:val="single" w:sz="8" w:space="0" w:color="auto"/>
              <w:left w:val="single" w:sz="8" w:space="0" w:color="auto"/>
              <w:bottom w:val="single" w:sz="8" w:space="0" w:color="000000"/>
              <w:right w:val="single" w:sz="8" w:space="0" w:color="auto"/>
            </w:tcBorders>
            <w:shd w:val="clear" w:color="000000" w:fill="FBF9D9"/>
            <w:vAlign w:val="center"/>
            <w:hideMark/>
          </w:tcPr>
          <w:p w14:paraId="06FDEFEF" w14:textId="77777777" w:rsidR="00216BD5" w:rsidRPr="00477BD4" w:rsidRDefault="00216BD5" w:rsidP="006703BB">
            <w:pPr>
              <w:jc w:val="left"/>
              <w:rPr>
                <w:b/>
                <w:bCs/>
                <w:color w:val="000000"/>
                <w:sz w:val="22"/>
                <w:szCs w:val="22"/>
              </w:rPr>
            </w:pPr>
          </w:p>
        </w:tc>
        <w:tc>
          <w:tcPr>
            <w:tcW w:w="1883" w:type="dxa"/>
            <w:gridSpan w:val="2"/>
            <w:vMerge w:val="restart"/>
            <w:tcBorders>
              <w:top w:val="single" w:sz="8" w:space="0" w:color="auto"/>
              <w:left w:val="single" w:sz="8" w:space="0" w:color="auto"/>
              <w:bottom w:val="single" w:sz="8" w:space="0" w:color="000000"/>
              <w:right w:val="single" w:sz="8" w:space="0" w:color="000000"/>
            </w:tcBorders>
            <w:shd w:val="clear" w:color="000000" w:fill="FBF9D9"/>
            <w:vAlign w:val="center"/>
            <w:hideMark/>
          </w:tcPr>
          <w:p w14:paraId="56EA4551" w14:textId="77777777" w:rsidR="00216BD5" w:rsidRPr="00477BD4" w:rsidRDefault="00216BD5" w:rsidP="006703BB">
            <w:pPr>
              <w:jc w:val="left"/>
              <w:rPr>
                <w:b/>
                <w:bCs/>
                <w:color w:val="000000"/>
                <w:sz w:val="22"/>
                <w:szCs w:val="22"/>
              </w:rPr>
            </w:pPr>
            <w:r w:rsidRPr="00477BD4">
              <w:rPr>
                <w:b/>
                <w:bCs/>
                <w:color w:val="000000"/>
                <w:sz w:val="22"/>
                <w:szCs w:val="22"/>
              </w:rPr>
              <w:t>Ustanovenie Trestného poriadku</w:t>
            </w:r>
          </w:p>
        </w:tc>
        <w:tc>
          <w:tcPr>
            <w:tcW w:w="4454" w:type="dxa"/>
            <w:gridSpan w:val="6"/>
            <w:tcBorders>
              <w:top w:val="single" w:sz="8" w:space="0" w:color="auto"/>
              <w:left w:val="nil"/>
              <w:bottom w:val="single" w:sz="8" w:space="0" w:color="auto"/>
              <w:right w:val="single" w:sz="8" w:space="0" w:color="000000"/>
            </w:tcBorders>
            <w:shd w:val="clear" w:color="000000" w:fill="FBF9D9"/>
            <w:vAlign w:val="center"/>
            <w:hideMark/>
          </w:tcPr>
          <w:p w14:paraId="747215AE" w14:textId="77777777" w:rsidR="00216BD5" w:rsidRPr="00477BD4" w:rsidRDefault="00216BD5" w:rsidP="006703BB">
            <w:pPr>
              <w:jc w:val="center"/>
              <w:rPr>
                <w:b/>
                <w:bCs/>
                <w:color w:val="000000"/>
                <w:sz w:val="22"/>
                <w:szCs w:val="22"/>
              </w:rPr>
            </w:pPr>
            <w:r w:rsidRPr="00477BD4">
              <w:rPr>
                <w:b/>
                <w:bCs/>
                <w:color w:val="000000"/>
                <w:sz w:val="22"/>
                <w:szCs w:val="22"/>
              </w:rPr>
              <w:t>MV SR</w:t>
            </w:r>
          </w:p>
        </w:tc>
        <w:tc>
          <w:tcPr>
            <w:tcW w:w="2684" w:type="dxa"/>
            <w:gridSpan w:val="6"/>
            <w:tcBorders>
              <w:top w:val="single" w:sz="8" w:space="0" w:color="auto"/>
              <w:left w:val="nil"/>
              <w:bottom w:val="single" w:sz="8" w:space="0" w:color="auto"/>
              <w:right w:val="single" w:sz="8" w:space="0" w:color="000000"/>
            </w:tcBorders>
            <w:shd w:val="clear" w:color="000000" w:fill="FBF9D9"/>
            <w:vAlign w:val="center"/>
            <w:hideMark/>
          </w:tcPr>
          <w:p w14:paraId="57B6AB92" w14:textId="77777777" w:rsidR="00216BD5" w:rsidRPr="00477BD4" w:rsidRDefault="00216BD5" w:rsidP="006703BB">
            <w:pPr>
              <w:jc w:val="center"/>
              <w:rPr>
                <w:b/>
                <w:bCs/>
                <w:color w:val="000000"/>
                <w:sz w:val="22"/>
                <w:szCs w:val="22"/>
              </w:rPr>
            </w:pPr>
            <w:r w:rsidRPr="00477BD4">
              <w:rPr>
                <w:b/>
                <w:bCs/>
                <w:color w:val="000000"/>
                <w:sz w:val="22"/>
                <w:szCs w:val="22"/>
              </w:rPr>
              <w:t>GP SR</w:t>
            </w:r>
          </w:p>
        </w:tc>
        <w:tc>
          <w:tcPr>
            <w:tcW w:w="4612" w:type="dxa"/>
            <w:gridSpan w:val="6"/>
            <w:tcBorders>
              <w:top w:val="single" w:sz="8" w:space="0" w:color="auto"/>
              <w:left w:val="nil"/>
              <w:bottom w:val="single" w:sz="8" w:space="0" w:color="auto"/>
              <w:right w:val="single" w:sz="8" w:space="0" w:color="000000"/>
            </w:tcBorders>
            <w:shd w:val="clear" w:color="000000" w:fill="FBF9D9"/>
            <w:vAlign w:val="center"/>
            <w:hideMark/>
          </w:tcPr>
          <w:p w14:paraId="15E0E785" w14:textId="77777777" w:rsidR="00216BD5" w:rsidRPr="00477BD4" w:rsidRDefault="00216BD5" w:rsidP="006703BB">
            <w:pPr>
              <w:jc w:val="center"/>
              <w:rPr>
                <w:b/>
                <w:bCs/>
                <w:color w:val="000000"/>
                <w:sz w:val="22"/>
                <w:szCs w:val="22"/>
              </w:rPr>
            </w:pPr>
            <w:r w:rsidRPr="00477BD4">
              <w:rPr>
                <w:b/>
                <w:bCs/>
                <w:color w:val="000000"/>
                <w:sz w:val="22"/>
                <w:szCs w:val="22"/>
              </w:rPr>
              <w:t>MS SR</w:t>
            </w:r>
          </w:p>
        </w:tc>
      </w:tr>
      <w:tr w:rsidR="00216BD5" w:rsidRPr="00477BD4" w14:paraId="2CE97EE8" w14:textId="77777777" w:rsidTr="006703BB">
        <w:trPr>
          <w:trHeight w:val="310"/>
          <w:jc w:val="right"/>
        </w:trPr>
        <w:tc>
          <w:tcPr>
            <w:tcW w:w="366" w:type="dxa"/>
            <w:vMerge/>
            <w:tcBorders>
              <w:top w:val="single" w:sz="8" w:space="0" w:color="auto"/>
              <w:left w:val="single" w:sz="8" w:space="0" w:color="auto"/>
              <w:bottom w:val="single" w:sz="8" w:space="0" w:color="000000"/>
              <w:right w:val="single" w:sz="8" w:space="0" w:color="auto"/>
            </w:tcBorders>
            <w:vAlign w:val="center"/>
            <w:hideMark/>
          </w:tcPr>
          <w:p w14:paraId="5E2903A2" w14:textId="77777777" w:rsidR="00216BD5" w:rsidRPr="00477BD4" w:rsidRDefault="00216BD5" w:rsidP="006703BB">
            <w:pPr>
              <w:jc w:val="left"/>
              <w:rPr>
                <w:b/>
                <w:bCs/>
                <w:color w:val="000000"/>
                <w:sz w:val="22"/>
                <w:szCs w:val="22"/>
              </w:rPr>
            </w:pPr>
          </w:p>
        </w:tc>
        <w:tc>
          <w:tcPr>
            <w:tcW w:w="1883" w:type="dxa"/>
            <w:gridSpan w:val="2"/>
            <w:vMerge/>
            <w:tcBorders>
              <w:top w:val="single" w:sz="8" w:space="0" w:color="auto"/>
              <w:left w:val="single" w:sz="8" w:space="0" w:color="auto"/>
              <w:bottom w:val="single" w:sz="8" w:space="0" w:color="000000"/>
              <w:right w:val="single" w:sz="8" w:space="0" w:color="000000"/>
            </w:tcBorders>
            <w:vAlign w:val="center"/>
            <w:hideMark/>
          </w:tcPr>
          <w:p w14:paraId="667D49F9" w14:textId="77777777" w:rsidR="00216BD5" w:rsidRPr="00477BD4" w:rsidRDefault="00216BD5" w:rsidP="006703BB">
            <w:pPr>
              <w:jc w:val="left"/>
              <w:rPr>
                <w:b/>
                <w:bCs/>
                <w:color w:val="000000"/>
                <w:sz w:val="22"/>
                <w:szCs w:val="22"/>
              </w:rPr>
            </w:pPr>
          </w:p>
        </w:tc>
        <w:tc>
          <w:tcPr>
            <w:tcW w:w="2210" w:type="dxa"/>
            <w:gridSpan w:val="3"/>
            <w:tcBorders>
              <w:top w:val="single" w:sz="8" w:space="0" w:color="auto"/>
              <w:left w:val="nil"/>
              <w:bottom w:val="single" w:sz="8" w:space="0" w:color="auto"/>
              <w:right w:val="single" w:sz="8" w:space="0" w:color="000000"/>
            </w:tcBorders>
            <w:shd w:val="clear" w:color="000000" w:fill="FBF9D9"/>
            <w:vAlign w:val="center"/>
            <w:hideMark/>
          </w:tcPr>
          <w:p w14:paraId="6F8BB36A" w14:textId="77777777" w:rsidR="00216BD5" w:rsidRPr="00477BD4" w:rsidRDefault="00216BD5" w:rsidP="006703BB">
            <w:pPr>
              <w:jc w:val="center"/>
              <w:rPr>
                <w:b/>
                <w:bCs/>
                <w:color w:val="000000"/>
                <w:sz w:val="22"/>
                <w:szCs w:val="22"/>
              </w:rPr>
            </w:pPr>
            <w:r w:rsidRPr="00477BD4">
              <w:rPr>
                <w:b/>
                <w:bCs/>
                <w:color w:val="000000"/>
                <w:sz w:val="22"/>
                <w:szCs w:val="22"/>
              </w:rPr>
              <w:t>rok 2013</w:t>
            </w:r>
          </w:p>
        </w:tc>
        <w:tc>
          <w:tcPr>
            <w:tcW w:w="2244" w:type="dxa"/>
            <w:gridSpan w:val="3"/>
            <w:tcBorders>
              <w:top w:val="single" w:sz="8" w:space="0" w:color="auto"/>
              <w:left w:val="nil"/>
              <w:bottom w:val="single" w:sz="8" w:space="0" w:color="auto"/>
              <w:right w:val="single" w:sz="8" w:space="0" w:color="000000"/>
            </w:tcBorders>
            <w:shd w:val="clear" w:color="000000" w:fill="FBF9D9"/>
            <w:vAlign w:val="center"/>
            <w:hideMark/>
          </w:tcPr>
          <w:p w14:paraId="5D6EE12B" w14:textId="77777777" w:rsidR="00216BD5" w:rsidRPr="00477BD4" w:rsidRDefault="00216BD5" w:rsidP="006703BB">
            <w:pPr>
              <w:jc w:val="center"/>
              <w:rPr>
                <w:b/>
                <w:bCs/>
                <w:color w:val="000000"/>
                <w:sz w:val="22"/>
                <w:szCs w:val="22"/>
              </w:rPr>
            </w:pPr>
            <w:r w:rsidRPr="00477BD4">
              <w:rPr>
                <w:b/>
                <w:bCs/>
                <w:color w:val="000000"/>
                <w:sz w:val="22"/>
                <w:szCs w:val="22"/>
              </w:rPr>
              <w:t>rok 2014</w:t>
            </w:r>
          </w:p>
        </w:tc>
        <w:tc>
          <w:tcPr>
            <w:tcW w:w="1359" w:type="dxa"/>
            <w:gridSpan w:val="3"/>
            <w:tcBorders>
              <w:top w:val="single" w:sz="8" w:space="0" w:color="auto"/>
              <w:left w:val="nil"/>
              <w:bottom w:val="single" w:sz="8" w:space="0" w:color="auto"/>
              <w:right w:val="single" w:sz="8" w:space="0" w:color="000000"/>
            </w:tcBorders>
            <w:shd w:val="clear" w:color="000000" w:fill="FBF9D9"/>
            <w:vAlign w:val="center"/>
            <w:hideMark/>
          </w:tcPr>
          <w:p w14:paraId="01C10B9C" w14:textId="77777777" w:rsidR="00216BD5" w:rsidRPr="00477BD4" w:rsidRDefault="00216BD5" w:rsidP="006703BB">
            <w:pPr>
              <w:jc w:val="center"/>
              <w:rPr>
                <w:b/>
                <w:bCs/>
                <w:color w:val="000000"/>
                <w:sz w:val="22"/>
                <w:szCs w:val="22"/>
              </w:rPr>
            </w:pPr>
            <w:r w:rsidRPr="00477BD4">
              <w:rPr>
                <w:b/>
                <w:bCs/>
                <w:color w:val="000000"/>
                <w:sz w:val="22"/>
                <w:szCs w:val="22"/>
              </w:rPr>
              <w:t>rok 2013</w:t>
            </w:r>
          </w:p>
        </w:tc>
        <w:tc>
          <w:tcPr>
            <w:tcW w:w="1325" w:type="dxa"/>
            <w:gridSpan w:val="3"/>
            <w:tcBorders>
              <w:top w:val="single" w:sz="8" w:space="0" w:color="auto"/>
              <w:left w:val="nil"/>
              <w:bottom w:val="single" w:sz="8" w:space="0" w:color="auto"/>
              <w:right w:val="single" w:sz="8" w:space="0" w:color="000000"/>
            </w:tcBorders>
            <w:shd w:val="clear" w:color="000000" w:fill="FBF9D9"/>
            <w:vAlign w:val="center"/>
            <w:hideMark/>
          </w:tcPr>
          <w:p w14:paraId="65E7231B" w14:textId="77777777" w:rsidR="00216BD5" w:rsidRPr="00477BD4" w:rsidRDefault="00216BD5" w:rsidP="006703BB">
            <w:pPr>
              <w:jc w:val="center"/>
              <w:rPr>
                <w:b/>
                <w:bCs/>
                <w:color w:val="000000"/>
                <w:sz w:val="22"/>
                <w:szCs w:val="22"/>
              </w:rPr>
            </w:pPr>
            <w:r w:rsidRPr="00477BD4">
              <w:rPr>
                <w:b/>
                <w:bCs/>
                <w:color w:val="000000"/>
                <w:sz w:val="22"/>
                <w:szCs w:val="22"/>
              </w:rPr>
              <w:t>rok 2014</w:t>
            </w:r>
          </w:p>
        </w:tc>
        <w:tc>
          <w:tcPr>
            <w:tcW w:w="2098" w:type="dxa"/>
            <w:gridSpan w:val="3"/>
            <w:tcBorders>
              <w:top w:val="single" w:sz="8" w:space="0" w:color="auto"/>
              <w:left w:val="nil"/>
              <w:bottom w:val="single" w:sz="8" w:space="0" w:color="auto"/>
              <w:right w:val="single" w:sz="8" w:space="0" w:color="000000"/>
            </w:tcBorders>
            <w:shd w:val="clear" w:color="000000" w:fill="FBF9D9"/>
            <w:vAlign w:val="center"/>
            <w:hideMark/>
          </w:tcPr>
          <w:p w14:paraId="6F3AAEEE" w14:textId="77777777" w:rsidR="00216BD5" w:rsidRPr="00477BD4" w:rsidRDefault="00216BD5" w:rsidP="006703BB">
            <w:pPr>
              <w:jc w:val="center"/>
              <w:rPr>
                <w:b/>
                <w:bCs/>
                <w:color w:val="000000"/>
                <w:sz w:val="22"/>
                <w:szCs w:val="22"/>
              </w:rPr>
            </w:pPr>
            <w:r w:rsidRPr="00477BD4">
              <w:rPr>
                <w:b/>
                <w:bCs/>
                <w:color w:val="000000"/>
                <w:sz w:val="22"/>
                <w:szCs w:val="22"/>
              </w:rPr>
              <w:t>rok 2013</w:t>
            </w:r>
          </w:p>
        </w:tc>
        <w:tc>
          <w:tcPr>
            <w:tcW w:w="2514" w:type="dxa"/>
            <w:gridSpan w:val="3"/>
            <w:tcBorders>
              <w:top w:val="single" w:sz="8" w:space="0" w:color="auto"/>
              <w:left w:val="nil"/>
              <w:bottom w:val="single" w:sz="8" w:space="0" w:color="auto"/>
              <w:right w:val="single" w:sz="8" w:space="0" w:color="000000"/>
            </w:tcBorders>
            <w:shd w:val="clear" w:color="000000" w:fill="FBF9D9"/>
            <w:vAlign w:val="center"/>
            <w:hideMark/>
          </w:tcPr>
          <w:p w14:paraId="3955D56D" w14:textId="77777777" w:rsidR="00216BD5" w:rsidRPr="00477BD4" w:rsidRDefault="00216BD5" w:rsidP="006703BB">
            <w:pPr>
              <w:jc w:val="center"/>
              <w:rPr>
                <w:b/>
                <w:bCs/>
                <w:color w:val="000000"/>
                <w:sz w:val="22"/>
                <w:szCs w:val="22"/>
              </w:rPr>
            </w:pPr>
            <w:r w:rsidRPr="00477BD4">
              <w:rPr>
                <w:b/>
                <w:bCs/>
                <w:color w:val="000000"/>
                <w:sz w:val="22"/>
                <w:szCs w:val="22"/>
              </w:rPr>
              <w:t>rok 2014</w:t>
            </w:r>
          </w:p>
        </w:tc>
      </w:tr>
      <w:tr w:rsidR="00216BD5" w:rsidRPr="00477BD4" w14:paraId="4D816BF9" w14:textId="77777777" w:rsidTr="006703BB">
        <w:trPr>
          <w:trHeight w:val="428"/>
          <w:jc w:val="right"/>
        </w:trPr>
        <w:tc>
          <w:tcPr>
            <w:tcW w:w="366" w:type="dxa"/>
            <w:vMerge/>
            <w:tcBorders>
              <w:top w:val="single" w:sz="8" w:space="0" w:color="auto"/>
              <w:left w:val="single" w:sz="8" w:space="0" w:color="auto"/>
              <w:bottom w:val="single" w:sz="8" w:space="0" w:color="000000"/>
              <w:right w:val="single" w:sz="8" w:space="0" w:color="auto"/>
            </w:tcBorders>
            <w:vAlign w:val="center"/>
            <w:hideMark/>
          </w:tcPr>
          <w:p w14:paraId="14B648A0" w14:textId="77777777" w:rsidR="00216BD5" w:rsidRPr="00477BD4" w:rsidRDefault="00216BD5" w:rsidP="006703BB">
            <w:pPr>
              <w:jc w:val="left"/>
              <w:rPr>
                <w:b/>
                <w:bCs/>
                <w:color w:val="000000"/>
                <w:sz w:val="22"/>
                <w:szCs w:val="22"/>
              </w:rPr>
            </w:pPr>
          </w:p>
        </w:tc>
        <w:tc>
          <w:tcPr>
            <w:tcW w:w="1883" w:type="dxa"/>
            <w:gridSpan w:val="2"/>
            <w:vMerge/>
            <w:tcBorders>
              <w:top w:val="single" w:sz="8" w:space="0" w:color="auto"/>
              <w:left w:val="single" w:sz="8" w:space="0" w:color="auto"/>
              <w:bottom w:val="single" w:sz="8" w:space="0" w:color="000000"/>
              <w:right w:val="single" w:sz="8" w:space="0" w:color="000000"/>
            </w:tcBorders>
            <w:vAlign w:val="center"/>
            <w:hideMark/>
          </w:tcPr>
          <w:p w14:paraId="300CDA66" w14:textId="77777777" w:rsidR="00216BD5" w:rsidRPr="00477BD4" w:rsidRDefault="00216BD5" w:rsidP="006703BB">
            <w:pPr>
              <w:jc w:val="left"/>
              <w:rPr>
                <w:b/>
                <w:bCs/>
                <w:color w:val="000000"/>
                <w:sz w:val="22"/>
                <w:szCs w:val="22"/>
              </w:rPr>
            </w:pPr>
          </w:p>
        </w:tc>
        <w:tc>
          <w:tcPr>
            <w:tcW w:w="591" w:type="dxa"/>
            <w:tcBorders>
              <w:top w:val="nil"/>
              <w:left w:val="nil"/>
              <w:bottom w:val="single" w:sz="8" w:space="0" w:color="auto"/>
              <w:right w:val="single" w:sz="8" w:space="0" w:color="auto"/>
            </w:tcBorders>
            <w:shd w:val="clear" w:color="000000" w:fill="FBF9D9"/>
            <w:vAlign w:val="center"/>
            <w:hideMark/>
          </w:tcPr>
          <w:p w14:paraId="78233E56" w14:textId="77777777" w:rsidR="00216BD5" w:rsidRPr="00477BD4" w:rsidRDefault="00216BD5" w:rsidP="006703BB">
            <w:pPr>
              <w:jc w:val="left"/>
              <w:rPr>
                <w:b/>
                <w:bCs/>
                <w:color w:val="000000"/>
                <w:sz w:val="16"/>
                <w:szCs w:val="16"/>
              </w:rPr>
            </w:pPr>
            <w:r w:rsidRPr="00477BD4">
              <w:rPr>
                <w:b/>
                <w:bCs/>
                <w:color w:val="000000"/>
                <w:sz w:val="16"/>
                <w:szCs w:val="16"/>
              </w:rPr>
              <w:t>Počet vecí</w:t>
            </w:r>
          </w:p>
        </w:tc>
        <w:tc>
          <w:tcPr>
            <w:tcW w:w="579" w:type="dxa"/>
            <w:tcBorders>
              <w:top w:val="nil"/>
              <w:left w:val="nil"/>
              <w:bottom w:val="single" w:sz="8" w:space="0" w:color="auto"/>
              <w:right w:val="single" w:sz="8" w:space="0" w:color="auto"/>
            </w:tcBorders>
            <w:shd w:val="clear" w:color="000000" w:fill="FBF9D9"/>
            <w:vAlign w:val="center"/>
            <w:hideMark/>
          </w:tcPr>
          <w:p w14:paraId="7B1B6DC9" w14:textId="77777777" w:rsidR="00216BD5" w:rsidRPr="00477BD4" w:rsidRDefault="00216BD5" w:rsidP="006703BB">
            <w:pPr>
              <w:jc w:val="left"/>
              <w:rPr>
                <w:b/>
                <w:bCs/>
                <w:color w:val="000000"/>
                <w:sz w:val="16"/>
                <w:szCs w:val="16"/>
              </w:rPr>
            </w:pPr>
            <w:r w:rsidRPr="00477BD4">
              <w:rPr>
                <w:b/>
                <w:bCs/>
                <w:color w:val="000000"/>
                <w:sz w:val="16"/>
                <w:szCs w:val="16"/>
              </w:rPr>
              <w:t>Počet osôb</w:t>
            </w:r>
          </w:p>
        </w:tc>
        <w:tc>
          <w:tcPr>
            <w:tcW w:w="1040" w:type="dxa"/>
            <w:tcBorders>
              <w:top w:val="nil"/>
              <w:left w:val="nil"/>
              <w:bottom w:val="single" w:sz="8" w:space="0" w:color="auto"/>
              <w:right w:val="single" w:sz="8" w:space="0" w:color="auto"/>
            </w:tcBorders>
            <w:shd w:val="clear" w:color="000000" w:fill="FBF9D9"/>
            <w:vAlign w:val="center"/>
            <w:hideMark/>
          </w:tcPr>
          <w:p w14:paraId="664FC4A8" w14:textId="77777777" w:rsidR="00216BD5" w:rsidRPr="00477BD4" w:rsidRDefault="00216BD5" w:rsidP="006703BB">
            <w:pPr>
              <w:jc w:val="left"/>
              <w:rPr>
                <w:b/>
                <w:bCs/>
                <w:color w:val="000000"/>
                <w:sz w:val="16"/>
                <w:szCs w:val="16"/>
              </w:rPr>
            </w:pPr>
            <w:r w:rsidRPr="00477BD4">
              <w:rPr>
                <w:b/>
                <w:bCs/>
                <w:color w:val="000000"/>
                <w:sz w:val="16"/>
                <w:szCs w:val="16"/>
              </w:rPr>
              <w:t>Škoda v eurách</w:t>
            </w:r>
          </w:p>
        </w:tc>
        <w:tc>
          <w:tcPr>
            <w:tcW w:w="617" w:type="dxa"/>
            <w:tcBorders>
              <w:top w:val="nil"/>
              <w:left w:val="nil"/>
              <w:bottom w:val="single" w:sz="8" w:space="0" w:color="auto"/>
              <w:right w:val="single" w:sz="8" w:space="0" w:color="auto"/>
            </w:tcBorders>
            <w:shd w:val="clear" w:color="000000" w:fill="FBF9D9"/>
            <w:vAlign w:val="center"/>
            <w:hideMark/>
          </w:tcPr>
          <w:p w14:paraId="1D385EFD" w14:textId="77777777" w:rsidR="00216BD5" w:rsidRPr="00477BD4" w:rsidRDefault="00216BD5" w:rsidP="006703BB">
            <w:pPr>
              <w:jc w:val="left"/>
              <w:rPr>
                <w:b/>
                <w:bCs/>
                <w:color w:val="000000"/>
                <w:sz w:val="16"/>
                <w:szCs w:val="16"/>
              </w:rPr>
            </w:pPr>
            <w:r w:rsidRPr="00477BD4">
              <w:rPr>
                <w:b/>
                <w:bCs/>
                <w:color w:val="000000"/>
                <w:sz w:val="16"/>
                <w:szCs w:val="16"/>
              </w:rPr>
              <w:t>Počet vecí</w:t>
            </w:r>
          </w:p>
        </w:tc>
        <w:tc>
          <w:tcPr>
            <w:tcW w:w="579" w:type="dxa"/>
            <w:tcBorders>
              <w:top w:val="nil"/>
              <w:left w:val="nil"/>
              <w:bottom w:val="single" w:sz="8" w:space="0" w:color="auto"/>
              <w:right w:val="single" w:sz="8" w:space="0" w:color="auto"/>
            </w:tcBorders>
            <w:shd w:val="clear" w:color="000000" w:fill="FBF9D9"/>
            <w:vAlign w:val="center"/>
            <w:hideMark/>
          </w:tcPr>
          <w:p w14:paraId="16A0D05A" w14:textId="77777777" w:rsidR="00216BD5" w:rsidRPr="00477BD4" w:rsidRDefault="00216BD5" w:rsidP="006703BB">
            <w:pPr>
              <w:jc w:val="left"/>
              <w:rPr>
                <w:b/>
                <w:bCs/>
                <w:color w:val="000000"/>
                <w:sz w:val="16"/>
                <w:szCs w:val="16"/>
              </w:rPr>
            </w:pPr>
            <w:r w:rsidRPr="00477BD4">
              <w:rPr>
                <w:b/>
                <w:bCs/>
                <w:color w:val="000000"/>
                <w:sz w:val="16"/>
                <w:szCs w:val="16"/>
              </w:rPr>
              <w:t>Počet osôb</w:t>
            </w:r>
          </w:p>
        </w:tc>
        <w:tc>
          <w:tcPr>
            <w:tcW w:w="1048" w:type="dxa"/>
            <w:tcBorders>
              <w:top w:val="nil"/>
              <w:left w:val="nil"/>
              <w:bottom w:val="single" w:sz="8" w:space="0" w:color="auto"/>
              <w:right w:val="single" w:sz="8" w:space="0" w:color="auto"/>
            </w:tcBorders>
            <w:shd w:val="clear" w:color="000000" w:fill="FBF9D9"/>
            <w:vAlign w:val="center"/>
            <w:hideMark/>
          </w:tcPr>
          <w:p w14:paraId="3265C844" w14:textId="77777777" w:rsidR="00216BD5" w:rsidRPr="00477BD4" w:rsidRDefault="00216BD5" w:rsidP="006703BB">
            <w:pPr>
              <w:jc w:val="left"/>
              <w:rPr>
                <w:b/>
                <w:bCs/>
                <w:color w:val="000000"/>
                <w:sz w:val="16"/>
                <w:szCs w:val="16"/>
              </w:rPr>
            </w:pPr>
            <w:r w:rsidRPr="00477BD4">
              <w:rPr>
                <w:b/>
                <w:bCs/>
                <w:color w:val="000000"/>
                <w:sz w:val="16"/>
                <w:szCs w:val="16"/>
              </w:rPr>
              <w:t>Škoda v eurách</w:t>
            </w:r>
          </w:p>
        </w:tc>
        <w:tc>
          <w:tcPr>
            <w:tcW w:w="683" w:type="dxa"/>
            <w:tcBorders>
              <w:top w:val="nil"/>
              <w:left w:val="nil"/>
              <w:bottom w:val="single" w:sz="8" w:space="0" w:color="auto"/>
              <w:right w:val="single" w:sz="8" w:space="0" w:color="auto"/>
            </w:tcBorders>
            <w:shd w:val="clear" w:color="000000" w:fill="FBF9D9"/>
            <w:vAlign w:val="center"/>
            <w:hideMark/>
          </w:tcPr>
          <w:p w14:paraId="05C09BB1" w14:textId="77777777" w:rsidR="00216BD5" w:rsidRPr="00477BD4" w:rsidRDefault="00216BD5" w:rsidP="006703BB">
            <w:pPr>
              <w:jc w:val="left"/>
              <w:rPr>
                <w:b/>
                <w:bCs/>
                <w:color w:val="000000"/>
                <w:sz w:val="16"/>
                <w:szCs w:val="16"/>
              </w:rPr>
            </w:pPr>
            <w:r w:rsidRPr="00477BD4">
              <w:rPr>
                <w:b/>
                <w:bCs/>
                <w:color w:val="000000"/>
                <w:sz w:val="16"/>
                <w:szCs w:val="16"/>
              </w:rPr>
              <w:t>Počet skutkov</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4921979D" w14:textId="77777777" w:rsidR="00216BD5" w:rsidRPr="00477BD4" w:rsidRDefault="00216BD5" w:rsidP="006703BB">
            <w:pPr>
              <w:jc w:val="left"/>
              <w:rPr>
                <w:b/>
                <w:bCs/>
                <w:color w:val="000000"/>
                <w:sz w:val="16"/>
                <w:szCs w:val="16"/>
              </w:rPr>
            </w:pPr>
            <w:r w:rsidRPr="00477BD4">
              <w:rPr>
                <w:b/>
                <w:bCs/>
                <w:color w:val="000000"/>
                <w:sz w:val="16"/>
                <w:szCs w:val="16"/>
              </w:rPr>
              <w:t>Počet osôb</w:t>
            </w:r>
          </w:p>
        </w:tc>
        <w:tc>
          <w:tcPr>
            <w:tcW w:w="711" w:type="dxa"/>
            <w:tcBorders>
              <w:top w:val="nil"/>
              <w:left w:val="nil"/>
              <w:bottom w:val="single" w:sz="8" w:space="0" w:color="auto"/>
              <w:right w:val="single" w:sz="8" w:space="0" w:color="auto"/>
            </w:tcBorders>
            <w:shd w:val="clear" w:color="000000" w:fill="FBF9D9"/>
            <w:vAlign w:val="center"/>
            <w:hideMark/>
          </w:tcPr>
          <w:p w14:paraId="28C2325C" w14:textId="77777777" w:rsidR="00216BD5" w:rsidRPr="00477BD4" w:rsidRDefault="00216BD5" w:rsidP="006703BB">
            <w:pPr>
              <w:jc w:val="left"/>
              <w:rPr>
                <w:b/>
                <w:bCs/>
                <w:color w:val="000000"/>
                <w:sz w:val="16"/>
                <w:szCs w:val="16"/>
              </w:rPr>
            </w:pPr>
            <w:r w:rsidRPr="00477BD4">
              <w:rPr>
                <w:b/>
                <w:bCs/>
                <w:color w:val="000000"/>
                <w:sz w:val="16"/>
                <w:szCs w:val="16"/>
              </w:rPr>
              <w:t>Počet skutkov</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3D12C279" w14:textId="77777777" w:rsidR="00216BD5" w:rsidRPr="00477BD4" w:rsidRDefault="00216BD5" w:rsidP="006703BB">
            <w:pPr>
              <w:jc w:val="left"/>
              <w:rPr>
                <w:b/>
                <w:bCs/>
                <w:color w:val="000000"/>
                <w:sz w:val="16"/>
                <w:szCs w:val="16"/>
              </w:rPr>
            </w:pPr>
            <w:r w:rsidRPr="00477BD4">
              <w:rPr>
                <w:b/>
                <w:bCs/>
                <w:color w:val="000000"/>
                <w:sz w:val="16"/>
                <w:szCs w:val="16"/>
              </w:rPr>
              <w:t>Počet osôb</w:t>
            </w:r>
          </w:p>
        </w:tc>
        <w:tc>
          <w:tcPr>
            <w:tcW w:w="743" w:type="dxa"/>
            <w:tcBorders>
              <w:top w:val="nil"/>
              <w:left w:val="nil"/>
              <w:bottom w:val="single" w:sz="8" w:space="0" w:color="auto"/>
              <w:right w:val="single" w:sz="8" w:space="0" w:color="auto"/>
            </w:tcBorders>
            <w:shd w:val="clear" w:color="000000" w:fill="FBF9D9"/>
            <w:vAlign w:val="center"/>
            <w:hideMark/>
          </w:tcPr>
          <w:p w14:paraId="13BB67A3" w14:textId="77777777" w:rsidR="00216BD5" w:rsidRPr="00477BD4" w:rsidRDefault="00216BD5" w:rsidP="006703BB">
            <w:pPr>
              <w:jc w:val="left"/>
              <w:rPr>
                <w:b/>
                <w:bCs/>
                <w:color w:val="000000"/>
                <w:sz w:val="16"/>
                <w:szCs w:val="16"/>
              </w:rPr>
            </w:pPr>
            <w:r w:rsidRPr="00477BD4">
              <w:rPr>
                <w:b/>
                <w:bCs/>
                <w:color w:val="000000"/>
                <w:sz w:val="16"/>
                <w:szCs w:val="16"/>
              </w:rPr>
              <w:t>Počet skutkov</w:t>
            </w:r>
          </w:p>
        </w:tc>
        <w:tc>
          <w:tcPr>
            <w:tcW w:w="665" w:type="dxa"/>
            <w:tcBorders>
              <w:top w:val="nil"/>
              <w:left w:val="nil"/>
              <w:bottom w:val="single" w:sz="8" w:space="0" w:color="auto"/>
              <w:right w:val="single" w:sz="8" w:space="0" w:color="auto"/>
            </w:tcBorders>
            <w:shd w:val="clear" w:color="000000" w:fill="FBF9D9"/>
            <w:vAlign w:val="center"/>
            <w:hideMark/>
          </w:tcPr>
          <w:p w14:paraId="17839D3A" w14:textId="77777777" w:rsidR="00216BD5" w:rsidRPr="00477BD4" w:rsidRDefault="00216BD5" w:rsidP="006703BB">
            <w:pPr>
              <w:jc w:val="left"/>
              <w:rPr>
                <w:b/>
                <w:bCs/>
                <w:color w:val="000000"/>
                <w:sz w:val="16"/>
                <w:szCs w:val="16"/>
              </w:rPr>
            </w:pPr>
            <w:r w:rsidRPr="00477BD4">
              <w:rPr>
                <w:b/>
                <w:bCs/>
                <w:color w:val="000000"/>
                <w:sz w:val="16"/>
                <w:szCs w:val="16"/>
              </w:rPr>
              <w:t>Počet osôb</w:t>
            </w:r>
          </w:p>
        </w:tc>
        <w:tc>
          <w:tcPr>
            <w:tcW w:w="690" w:type="dxa"/>
            <w:tcBorders>
              <w:top w:val="nil"/>
              <w:left w:val="nil"/>
              <w:bottom w:val="single" w:sz="8" w:space="0" w:color="auto"/>
              <w:right w:val="single" w:sz="8" w:space="0" w:color="auto"/>
            </w:tcBorders>
            <w:shd w:val="clear" w:color="000000" w:fill="FBF9D9"/>
            <w:vAlign w:val="center"/>
            <w:hideMark/>
          </w:tcPr>
          <w:p w14:paraId="2F3378B6" w14:textId="77777777" w:rsidR="00216BD5" w:rsidRPr="00477BD4" w:rsidRDefault="00216BD5" w:rsidP="006703BB">
            <w:pPr>
              <w:jc w:val="left"/>
              <w:rPr>
                <w:b/>
                <w:bCs/>
                <w:color w:val="000000"/>
                <w:sz w:val="16"/>
                <w:szCs w:val="16"/>
              </w:rPr>
            </w:pPr>
            <w:r w:rsidRPr="00477BD4">
              <w:rPr>
                <w:b/>
                <w:bCs/>
                <w:color w:val="000000"/>
                <w:sz w:val="16"/>
                <w:szCs w:val="16"/>
              </w:rPr>
              <w:t>Škoda v eurách</w:t>
            </w:r>
          </w:p>
        </w:tc>
        <w:tc>
          <w:tcPr>
            <w:tcW w:w="838" w:type="dxa"/>
            <w:tcBorders>
              <w:top w:val="nil"/>
              <w:left w:val="nil"/>
              <w:bottom w:val="single" w:sz="8" w:space="0" w:color="auto"/>
              <w:right w:val="single" w:sz="8" w:space="0" w:color="auto"/>
            </w:tcBorders>
            <w:shd w:val="clear" w:color="000000" w:fill="FBF9D9"/>
            <w:vAlign w:val="center"/>
            <w:hideMark/>
          </w:tcPr>
          <w:p w14:paraId="64AAB242" w14:textId="77777777" w:rsidR="00216BD5" w:rsidRPr="00477BD4" w:rsidRDefault="00216BD5" w:rsidP="006703BB">
            <w:pPr>
              <w:jc w:val="left"/>
              <w:rPr>
                <w:b/>
                <w:bCs/>
                <w:color w:val="000000"/>
                <w:sz w:val="16"/>
                <w:szCs w:val="16"/>
              </w:rPr>
            </w:pPr>
            <w:r w:rsidRPr="00477BD4">
              <w:rPr>
                <w:b/>
                <w:bCs/>
                <w:color w:val="000000"/>
                <w:sz w:val="16"/>
                <w:szCs w:val="16"/>
              </w:rPr>
              <w:t>Počet skutkov</w:t>
            </w:r>
          </w:p>
        </w:tc>
        <w:tc>
          <w:tcPr>
            <w:tcW w:w="838" w:type="dxa"/>
            <w:tcBorders>
              <w:top w:val="nil"/>
              <w:left w:val="nil"/>
              <w:bottom w:val="single" w:sz="8" w:space="0" w:color="auto"/>
              <w:right w:val="single" w:sz="8" w:space="0" w:color="auto"/>
            </w:tcBorders>
            <w:shd w:val="clear" w:color="000000" w:fill="FBF9D9"/>
            <w:vAlign w:val="center"/>
          </w:tcPr>
          <w:p w14:paraId="03858D82" w14:textId="77777777" w:rsidR="00216BD5" w:rsidRPr="00477BD4" w:rsidRDefault="00216BD5" w:rsidP="006703BB">
            <w:pPr>
              <w:jc w:val="left"/>
              <w:rPr>
                <w:b/>
                <w:bCs/>
                <w:color w:val="000000"/>
                <w:sz w:val="16"/>
                <w:szCs w:val="16"/>
              </w:rPr>
            </w:pPr>
            <w:r w:rsidRPr="00477BD4">
              <w:rPr>
                <w:b/>
                <w:bCs/>
                <w:color w:val="000000"/>
                <w:sz w:val="16"/>
                <w:szCs w:val="16"/>
              </w:rPr>
              <w:t>Počet osôb</w:t>
            </w:r>
          </w:p>
        </w:tc>
        <w:tc>
          <w:tcPr>
            <w:tcW w:w="838" w:type="dxa"/>
            <w:tcBorders>
              <w:top w:val="nil"/>
              <w:left w:val="nil"/>
              <w:bottom w:val="single" w:sz="8" w:space="0" w:color="auto"/>
              <w:right w:val="single" w:sz="8" w:space="0" w:color="auto"/>
            </w:tcBorders>
            <w:shd w:val="clear" w:color="000000" w:fill="FBF9D9"/>
            <w:vAlign w:val="center"/>
          </w:tcPr>
          <w:p w14:paraId="35926D8C" w14:textId="77777777" w:rsidR="00216BD5" w:rsidRPr="00477BD4" w:rsidRDefault="00216BD5" w:rsidP="006703BB">
            <w:pPr>
              <w:jc w:val="left"/>
              <w:rPr>
                <w:b/>
                <w:bCs/>
                <w:color w:val="000000"/>
                <w:sz w:val="16"/>
                <w:szCs w:val="16"/>
              </w:rPr>
            </w:pPr>
            <w:r w:rsidRPr="00477BD4">
              <w:rPr>
                <w:b/>
                <w:bCs/>
                <w:color w:val="000000"/>
                <w:sz w:val="16"/>
                <w:szCs w:val="16"/>
              </w:rPr>
              <w:t>Škoda v eurách</w:t>
            </w:r>
          </w:p>
        </w:tc>
      </w:tr>
      <w:tr w:rsidR="00216BD5" w:rsidRPr="00477BD4" w14:paraId="5CB68D9F" w14:textId="77777777" w:rsidTr="006703BB">
        <w:trPr>
          <w:trHeight w:val="487"/>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791820AC" w14:textId="77777777" w:rsidR="00216BD5" w:rsidRPr="00477BD4" w:rsidRDefault="00216BD5" w:rsidP="006703BB">
            <w:pPr>
              <w:jc w:val="right"/>
              <w:rPr>
                <w:color w:val="000000"/>
                <w:sz w:val="22"/>
                <w:szCs w:val="22"/>
              </w:rPr>
            </w:pPr>
            <w:r w:rsidRPr="00477BD4">
              <w:rPr>
                <w:color w:val="000000"/>
                <w:sz w:val="22"/>
                <w:szCs w:val="22"/>
              </w:rPr>
              <w:t>1.</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2DAA51EF" w14:textId="77777777" w:rsidR="00216BD5" w:rsidRPr="00477BD4" w:rsidRDefault="00216BD5" w:rsidP="006703BB">
            <w:pPr>
              <w:jc w:val="left"/>
              <w:rPr>
                <w:color w:val="000000"/>
              </w:rPr>
            </w:pPr>
            <w:r w:rsidRPr="00477BD4">
              <w:rPr>
                <w:color w:val="000000"/>
              </w:rPr>
              <w:t>Podnet na trestné stíhania</w:t>
            </w:r>
          </w:p>
        </w:tc>
        <w:tc>
          <w:tcPr>
            <w:tcW w:w="591" w:type="dxa"/>
            <w:tcBorders>
              <w:top w:val="nil"/>
              <w:left w:val="nil"/>
              <w:bottom w:val="single" w:sz="8" w:space="0" w:color="auto"/>
              <w:right w:val="single" w:sz="8" w:space="0" w:color="auto"/>
            </w:tcBorders>
            <w:shd w:val="clear" w:color="000000" w:fill="FBF9D9"/>
            <w:vAlign w:val="center"/>
            <w:hideMark/>
          </w:tcPr>
          <w:p w14:paraId="7A16036E" w14:textId="77777777" w:rsidR="00216BD5" w:rsidRPr="00477BD4" w:rsidRDefault="00216BD5" w:rsidP="006703BB">
            <w:pPr>
              <w:jc w:val="center"/>
              <w:rPr>
                <w:b/>
                <w:bCs/>
                <w:color w:val="000000"/>
              </w:rPr>
            </w:pPr>
            <w:r w:rsidRPr="00477BD4">
              <w:rPr>
                <w:b/>
                <w:bCs/>
                <w:color w:val="000000"/>
              </w:rPr>
              <w:t>65</w:t>
            </w:r>
          </w:p>
        </w:tc>
        <w:tc>
          <w:tcPr>
            <w:tcW w:w="579" w:type="dxa"/>
            <w:tcBorders>
              <w:top w:val="nil"/>
              <w:left w:val="nil"/>
              <w:bottom w:val="single" w:sz="8" w:space="0" w:color="auto"/>
              <w:right w:val="single" w:sz="8" w:space="0" w:color="auto"/>
            </w:tcBorders>
            <w:shd w:val="clear" w:color="000000" w:fill="FBF9D9"/>
            <w:vAlign w:val="center"/>
            <w:hideMark/>
          </w:tcPr>
          <w:p w14:paraId="398E8959" w14:textId="77777777" w:rsidR="00216BD5" w:rsidRPr="00477BD4" w:rsidRDefault="00216BD5" w:rsidP="006703BB">
            <w:pPr>
              <w:jc w:val="center"/>
              <w:rPr>
                <w:b/>
                <w:bCs/>
                <w:color w:val="000000"/>
              </w:rPr>
            </w:pPr>
            <w:r w:rsidRPr="00477BD4">
              <w:rPr>
                <w:b/>
                <w:bCs/>
                <w:color w:val="000000"/>
              </w:rPr>
              <w:t>48</w:t>
            </w:r>
          </w:p>
        </w:tc>
        <w:tc>
          <w:tcPr>
            <w:tcW w:w="1040" w:type="dxa"/>
            <w:tcBorders>
              <w:top w:val="nil"/>
              <w:left w:val="nil"/>
              <w:bottom w:val="single" w:sz="8" w:space="0" w:color="auto"/>
              <w:right w:val="single" w:sz="8" w:space="0" w:color="auto"/>
            </w:tcBorders>
            <w:shd w:val="clear" w:color="000000" w:fill="FBF9D9"/>
            <w:vAlign w:val="center"/>
            <w:hideMark/>
          </w:tcPr>
          <w:p w14:paraId="2C37F4DF" w14:textId="77777777" w:rsidR="00216BD5" w:rsidRPr="00477BD4" w:rsidRDefault="00216BD5" w:rsidP="006703BB">
            <w:pPr>
              <w:jc w:val="center"/>
              <w:rPr>
                <w:b/>
                <w:bCs/>
                <w:color w:val="000000"/>
              </w:rPr>
            </w:pPr>
            <w:r w:rsidRPr="00477BD4">
              <w:rPr>
                <w:b/>
                <w:bCs/>
                <w:color w:val="000000"/>
              </w:rPr>
              <w:t>6.054.246</w:t>
            </w:r>
          </w:p>
        </w:tc>
        <w:tc>
          <w:tcPr>
            <w:tcW w:w="617" w:type="dxa"/>
            <w:tcBorders>
              <w:top w:val="nil"/>
              <w:left w:val="nil"/>
              <w:bottom w:val="single" w:sz="8" w:space="0" w:color="auto"/>
              <w:right w:val="single" w:sz="8" w:space="0" w:color="auto"/>
            </w:tcBorders>
            <w:shd w:val="clear" w:color="000000" w:fill="FBF9D9"/>
            <w:vAlign w:val="center"/>
            <w:hideMark/>
          </w:tcPr>
          <w:p w14:paraId="79B9EB2C" w14:textId="77777777" w:rsidR="00216BD5" w:rsidRPr="00477BD4" w:rsidRDefault="00216BD5" w:rsidP="006703BB">
            <w:pPr>
              <w:jc w:val="center"/>
              <w:rPr>
                <w:b/>
                <w:bCs/>
                <w:color w:val="000000"/>
              </w:rPr>
            </w:pPr>
            <w:r w:rsidRPr="00477BD4">
              <w:rPr>
                <w:b/>
                <w:bCs/>
                <w:color w:val="000000"/>
              </w:rPr>
              <w:t>26</w:t>
            </w:r>
          </w:p>
        </w:tc>
        <w:tc>
          <w:tcPr>
            <w:tcW w:w="579" w:type="dxa"/>
            <w:tcBorders>
              <w:top w:val="nil"/>
              <w:left w:val="nil"/>
              <w:bottom w:val="single" w:sz="8" w:space="0" w:color="auto"/>
              <w:right w:val="single" w:sz="8" w:space="0" w:color="auto"/>
            </w:tcBorders>
            <w:shd w:val="clear" w:color="000000" w:fill="FBF9D9"/>
            <w:vAlign w:val="center"/>
            <w:hideMark/>
          </w:tcPr>
          <w:p w14:paraId="6C7FE0DB" w14:textId="77777777" w:rsidR="00216BD5" w:rsidRPr="00477BD4" w:rsidRDefault="00216BD5" w:rsidP="006703BB">
            <w:pPr>
              <w:jc w:val="center"/>
              <w:rPr>
                <w:b/>
                <w:bCs/>
                <w:color w:val="000000"/>
              </w:rPr>
            </w:pPr>
            <w:r w:rsidRPr="00477BD4">
              <w:rPr>
                <w:b/>
                <w:bCs/>
                <w:color w:val="000000"/>
              </w:rPr>
              <w:t>38</w:t>
            </w:r>
          </w:p>
        </w:tc>
        <w:tc>
          <w:tcPr>
            <w:tcW w:w="1048" w:type="dxa"/>
            <w:tcBorders>
              <w:top w:val="nil"/>
              <w:left w:val="nil"/>
              <w:bottom w:val="single" w:sz="8" w:space="0" w:color="auto"/>
              <w:right w:val="single" w:sz="8" w:space="0" w:color="auto"/>
            </w:tcBorders>
            <w:shd w:val="clear" w:color="000000" w:fill="FBF9D9"/>
            <w:vAlign w:val="center"/>
            <w:hideMark/>
          </w:tcPr>
          <w:p w14:paraId="00E224BA" w14:textId="77777777" w:rsidR="00216BD5" w:rsidRPr="00477BD4" w:rsidRDefault="00216BD5" w:rsidP="006703BB">
            <w:pPr>
              <w:jc w:val="center"/>
              <w:rPr>
                <w:b/>
                <w:bCs/>
                <w:color w:val="000000"/>
              </w:rPr>
            </w:pPr>
            <w:r w:rsidRPr="00477BD4">
              <w:rPr>
                <w:b/>
                <w:bCs/>
                <w:color w:val="000000"/>
              </w:rPr>
              <w:t>980.546</w:t>
            </w:r>
          </w:p>
        </w:tc>
        <w:tc>
          <w:tcPr>
            <w:tcW w:w="683" w:type="dxa"/>
            <w:tcBorders>
              <w:top w:val="nil"/>
              <w:left w:val="nil"/>
              <w:bottom w:val="single" w:sz="8" w:space="0" w:color="auto"/>
              <w:right w:val="single" w:sz="8" w:space="0" w:color="auto"/>
            </w:tcBorders>
            <w:shd w:val="clear" w:color="000000" w:fill="FBF9D9"/>
            <w:vAlign w:val="center"/>
            <w:hideMark/>
          </w:tcPr>
          <w:p w14:paraId="7EA7AE16" w14:textId="77777777" w:rsidR="00216BD5" w:rsidRPr="00477BD4" w:rsidRDefault="00216BD5" w:rsidP="006703BB">
            <w:pPr>
              <w:jc w:val="center"/>
              <w:rPr>
                <w:color w:val="000000"/>
              </w:rPr>
            </w:pPr>
            <w:r w:rsidRPr="00477BD4">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01CE7CE1" w14:textId="77777777" w:rsidR="00216BD5" w:rsidRPr="00477BD4" w:rsidRDefault="00216BD5" w:rsidP="006703BB">
            <w:pPr>
              <w:jc w:val="center"/>
              <w:rPr>
                <w:color w:val="000000"/>
              </w:rPr>
            </w:pPr>
            <w:r w:rsidRPr="00477BD4">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69997E8E" w14:textId="77777777" w:rsidR="00216BD5" w:rsidRPr="00477BD4" w:rsidRDefault="00216BD5" w:rsidP="006703BB">
            <w:pPr>
              <w:jc w:val="center"/>
              <w:rPr>
                <w:color w:val="000000"/>
              </w:rPr>
            </w:pPr>
            <w:r w:rsidRPr="00477BD4">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4098FDFB" w14:textId="77777777" w:rsidR="00216BD5" w:rsidRPr="00477BD4" w:rsidRDefault="00216BD5" w:rsidP="006703BB">
            <w:pPr>
              <w:jc w:val="center"/>
              <w:rPr>
                <w:color w:val="000000"/>
              </w:rPr>
            </w:pPr>
            <w:r w:rsidRPr="00477BD4">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48546258" w14:textId="77777777" w:rsidR="00216BD5" w:rsidRPr="00477BD4" w:rsidRDefault="00216BD5" w:rsidP="006703BB">
            <w:pPr>
              <w:jc w:val="center"/>
              <w:rPr>
                <w:color w:val="000000"/>
              </w:rPr>
            </w:pPr>
            <w:r w:rsidRPr="00477BD4">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684DB3D7" w14:textId="77777777" w:rsidR="00216BD5" w:rsidRPr="00477BD4" w:rsidRDefault="00216BD5" w:rsidP="006703BB">
            <w:pPr>
              <w:jc w:val="center"/>
              <w:rPr>
                <w:color w:val="000000"/>
              </w:rPr>
            </w:pPr>
            <w:r w:rsidRPr="00477BD4">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07F93233"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7E078200"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0113320A"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58735CA8" w14:textId="77777777" w:rsidR="00216BD5" w:rsidRPr="00477BD4" w:rsidRDefault="00216BD5" w:rsidP="006703BB">
            <w:pPr>
              <w:jc w:val="center"/>
              <w:rPr>
                <w:color w:val="000000"/>
              </w:rPr>
            </w:pPr>
            <w:r w:rsidRPr="00477BD4">
              <w:rPr>
                <w:color w:val="000000"/>
              </w:rPr>
              <w:t>-</w:t>
            </w:r>
          </w:p>
        </w:tc>
      </w:tr>
      <w:tr w:rsidR="00216BD5" w:rsidRPr="00477BD4" w14:paraId="0C177EC3" w14:textId="77777777" w:rsidTr="006703BB">
        <w:trPr>
          <w:trHeight w:val="310"/>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6263E3FA" w14:textId="77777777" w:rsidR="00216BD5" w:rsidRPr="00477BD4" w:rsidRDefault="00216BD5" w:rsidP="006703BB">
            <w:pPr>
              <w:jc w:val="right"/>
              <w:rPr>
                <w:color w:val="000000"/>
                <w:sz w:val="22"/>
                <w:szCs w:val="22"/>
              </w:rPr>
            </w:pPr>
            <w:r w:rsidRPr="00477BD4">
              <w:rPr>
                <w:color w:val="000000"/>
                <w:sz w:val="22"/>
                <w:szCs w:val="22"/>
              </w:rPr>
              <w:t>2.</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2D2DD825" w14:textId="77777777" w:rsidR="00216BD5" w:rsidRPr="00477BD4" w:rsidRDefault="00216BD5" w:rsidP="006703BB">
            <w:pPr>
              <w:jc w:val="left"/>
              <w:rPr>
                <w:color w:val="000000"/>
              </w:rPr>
            </w:pPr>
            <w:r w:rsidRPr="00477BD4">
              <w:rPr>
                <w:color w:val="000000"/>
              </w:rPr>
              <w:t>§ 199 Začatie trestného stíhania</w:t>
            </w:r>
          </w:p>
        </w:tc>
        <w:tc>
          <w:tcPr>
            <w:tcW w:w="591" w:type="dxa"/>
            <w:tcBorders>
              <w:top w:val="nil"/>
              <w:left w:val="nil"/>
              <w:bottom w:val="single" w:sz="8" w:space="0" w:color="auto"/>
              <w:right w:val="single" w:sz="8" w:space="0" w:color="auto"/>
            </w:tcBorders>
            <w:shd w:val="clear" w:color="000000" w:fill="FBF9D9"/>
            <w:vAlign w:val="center"/>
            <w:hideMark/>
          </w:tcPr>
          <w:p w14:paraId="52C9D39D" w14:textId="77777777" w:rsidR="00216BD5" w:rsidRPr="00477BD4" w:rsidRDefault="00216BD5" w:rsidP="006703BB">
            <w:pPr>
              <w:jc w:val="center"/>
              <w:rPr>
                <w:b/>
                <w:bCs/>
                <w:color w:val="000000"/>
              </w:rPr>
            </w:pPr>
            <w:r w:rsidRPr="00477BD4">
              <w:rPr>
                <w:b/>
                <w:bCs/>
                <w:color w:val="000000"/>
              </w:rPr>
              <w:t>97</w:t>
            </w:r>
          </w:p>
        </w:tc>
        <w:tc>
          <w:tcPr>
            <w:tcW w:w="579" w:type="dxa"/>
            <w:tcBorders>
              <w:top w:val="nil"/>
              <w:left w:val="nil"/>
              <w:bottom w:val="single" w:sz="8" w:space="0" w:color="auto"/>
              <w:right w:val="single" w:sz="8" w:space="0" w:color="auto"/>
            </w:tcBorders>
            <w:shd w:val="clear" w:color="000000" w:fill="FBF9D9"/>
            <w:vAlign w:val="center"/>
            <w:hideMark/>
          </w:tcPr>
          <w:p w14:paraId="23C81583" w14:textId="77777777" w:rsidR="00216BD5" w:rsidRPr="00477BD4" w:rsidRDefault="00216BD5" w:rsidP="006703BB">
            <w:pPr>
              <w:jc w:val="center"/>
              <w:rPr>
                <w:b/>
                <w:bCs/>
                <w:color w:val="000000"/>
              </w:rPr>
            </w:pPr>
            <w:r w:rsidRPr="00477BD4">
              <w:rPr>
                <w:b/>
                <w:bCs/>
                <w:color w:val="000000"/>
              </w:rPr>
              <w:t>-</w:t>
            </w:r>
          </w:p>
        </w:tc>
        <w:tc>
          <w:tcPr>
            <w:tcW w:w="1040" w:type="dxa"/>
            <w:tcBorders>
              <w:top w:val="nil"/>
              <w:left w:val="nil"/>
              <w:bottom w:val="single" w:sz="8" w:space="0" w:color="auto"/>
              <w:right w:val="single" w:sz="8" w:space="0" w:color="auto"/>
            </w:tcBorders>
            <w:shd w:val="clear" w:color="000000" w:fill="FBF9D9"/>
            <w:vAlign w:val="center"/>
            <w:hideMark/>
          </w:tcPr>
          <w:p w14:paraId="4DEE1682" w14:textId="77777777" w:rsidR="00216BD5" w:rsidRPr="00477BD4" w:rsidRDefault="00216BD5" w:rsidP="006703BB">
            <w:pPr>
              <w:jc w:val="center"/>
              <w:rPr>
                <w:b/>
                <w:bCs/>
                <w:color w:val="000000"/>
              </w:rPr>
            </w:pPr>
            <w:r w:rsidRPr="00477BD4">
              <w:rPr>
                <w:b/>
                <w:bCs/>
                <w:color w:val="000000"/>
              </w:rPr>
              <w:t>11.538.015</w:t>
            </w:r>
          </w:p>
        </w:tc>
        <w:tc>
          <w:tcPr>
            <w:tcW w:w="617" w:type="dxa"/>
            <w:tcBorders>
              <w:top w:val="nil"/>
              <w:left w:val="nil"/>
              <w:bottom w:val="single" w:sz="8" w:space="0" w:color="auto"/>
              <w:right w:val="single" w:sz="8" w:space="0" w:color="auto"/>
            </w:tcBorders>
            <w:shd w:val="clear" w:color="000000" w:fill="FBF9D9"/>
            <w:vAlign w:val="center"/>
            <w:hideMark/>
          </w:tcPr>
          <w:p w14:paraId="41E263DA" w14:textId="77777777" w:rsidR="00216BD5" w:rsidRPr="00477BD4" w:rsidRDefault="00216BD5" w:rsidP="006703BB">
            <w:pPr>
              <w:jc w:val="center"/>
              <w:rPr>
                <w:b/>
                <w:bCs/>
                <w:color w:val="000000"/>
              </w:rPr>
            </w:pPr>
            <w:r w:rsidRPr="00477BD4">
              <w:rPr>
                <w:b/>
                <w:bCs/>
                <w:color w:val="000000"/>
              </w:rPr>
              <w:t>81</w:t>
            </w:r>
          </w:p>
        </w:tc>
        <w:tc>
          <w:tcPr>
            <w:tcW w:w="579" w:type="dxa"/>
            <w:tcBorders>
              <w:top w:val="nil"/>
              <w:left w:val="nil"/>
              <w:bottom w:val="single" w:sz="8" w:space="0" w:color="auto"/>
              <w:right w:val="single" w:sz="8" w:space="0" w:color="auto"/>
            </w:tcBorders>
            <w:shd w:val="clear" w:color="000000" w:fill="FBF9D9"/>
            <w:vAlign w:val="center"/>
            <w:hideMark/>
          </w:tcPr>
          <w:p w14:paraId="251D67E1" w14:textId="77777777" w:rsidR="00216BD5" w:rsidRPr="00477BD4" w:rsidRDefault="00216BD5" w:rsidP="006703BB">
            <w:pPr>
              <w:jc w:val="center"/>
              <w:rPr>
                <w:color w:val="000000"/>
              </w:rPr>
            </w:pPr>
            <w:r w:rsidRPr="00477BD4">
              <w:rPr>
                <w:color w:val="000000"/>
              </w:rPr>
              <w:t>-</w:t>
            </w:r>
          </w:p>
        </w:tc>
        <w:tc>
          <w:tcPr>
            <w:tcW w:w="1048" w:type="dxa"/>
            <w:tcBorders>
              <w:top w:val="nil"/>
              <w:left w:val="nil"/>
              <w:bottom w:val="single" w:sz="8" w:space="0" w:color="auto"/>
              <w:right w:val="single" w:sz="8" w:space="0" w:color="auto"/>
            </w:tcBorders>
            <w:shd w:val="clear" w:color="000000" w:fill="FBF9D9"/>
            <w:vAlign w:val="center"/>
            <w:hideMark/>
          </w:tcPr>
          <w:p w14:paraId="7426F9BA" w14:textId="77777777" w:rsidR="00216BD5" w:rsidRPr="00477BD4" w:rsidRDefault="00216BD5" w:rsidP="006703BB">
            <w:pPr>
              <w:jc w:val="center"/>
              <w:rPr>
                <w:b/>
                <w:bCs/>
                <w:color w:val="000000"/>
              </w:rPr>
            </w:pPr>
            <w:r w:rsidRPr="00477BD4">
              <w:rPr>
                <w:b/>
                <w:bCs/>
                <w:color w:val="000000"/>
              </w:rPr>
              <w:t>30.708.363</w:t>
            </w:r>
          </w:p>
        </w:tc>
        <w:tc>
          <w:tcPr>
            <w:tcW w:w="683" w:type="dxa"/>
            <w:tcBorders>
              <w:top w:val="nil"/>
              <w:left w:val="nil"/>
              <w:bottom w:val="single" w:sz="8" w:space="0" w:color="auto"/>
              <w:right w:val="single" w:sz="8" w:space="0" w:color="auto"/>
            </w:tcBorders>
            <w:shd w:val="clear" w:color="000000" w:fill="FBF9D9"/>
            <w:vAlign w:val="center"/>
            <w:hideMark/>
          </w:tcPr>
          <w:p w14:paraId="1647505B" w14:textId="77777777" w:rsidR="00216BD5" w:rsidRPr="00477BD4" w:rsidRDefault="00216BD5" w:rsidP="006703BB">
            <w:pPr>
              <w:jc w:val="center"/>
              <w:rPr>
                <w:color w:val="000000"/>
              </w:rPr>
            </w:pPr>
            <w:r w:rsidRPr="00477BD4">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48E2693B" w14:textId="77777777" w:rsidR="00216BD5" w:rsidRPr="00477BD4" w:rsidRDefault="00216BD5" w:rsidP="006703BB">
            <w:pPr>
              <w:jc w:val="center"/>
              <w:rPr>
                <w:color w:val="000000"/>
              </w:rPr>
            </w:pPr>
            <w:r w:rsidRPr="00477BD4">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30EBE2C9" w14:textId="77777777" w:rsidR="00216BD5" w:rsidRPr="00477BD4" w:rsidRDefault="00216BD5" w:rsidP="006703BB">
            <w:pPr>
              <w:jc w:val="center"/>
              <w:rPr>
                <w:color w:val="000000"/>
              </w:rPr>
            </w:pPr>
            <w:r w:rsidRPr="00477BD4">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64681781" w14:textId="77777777" w:rsidR="00216BD5" w:rsidRPr="00477BD4" w:rsidRDefault="00216BD5" w:rsidP="006703BB">
            <w:pPr>
              <w:jc w:val="center"/>
              <w:rPr>
                <w:color w:val="000000"/>
              </w:rPr>
            </w:pPr>
            <w:r w:rsidRPr="00477BD4">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085A8B94" w14:textId="77777777" w:rsidR="00216BD5" w:rsidRPr="00477BD4" w:rsidRDefault="00216BD5" w:rsidP="006703BB">
            <w:pPr>
              <w:jc w:val="center"/>
              <w:rPr>
                <w:color w:val="000000"/>
              </w:rPr>
            </w:pPr>
            <w:r w:rsidRPr="00477BD4">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14A96CD5" w14:textId="77777777" w:rsidR="00216BD5" w:rsidRPr="00477BD4" w:rsidRDefault="00216BD5" w:rsidP="006703BB">
            <w:pPr>
              <w:jc w:val="center"/>
              <w:rPr>
                <w:color w:val="000000"/>
              </w:rPr>
            </w:pPr>
            <w:r w:rsidRPr="00477BD4">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42C0E678"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7D56612E"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75DB2EDF"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74A2294E" w14:textId="77777777" w:rsidR="00216BD5" w:rsidRPr="00477BD4" w:rsidRDefault="00216BD5" w:rsidP="006703BB">
            <w:pPr>
              <w:jc w:val="center"/>
              <w:rPr>
                <w:color w:val="000000"/>
              </w:rPr>
            </w:pPr>
            <w:r w:rsidRPr="00477BD4">
              <w:rPr>
                <w:color w:val="000000"/>
              </w:rPr>
              <w:t>-</w:t>
            </w:r>
          </w:p>
        </w:tc>
      </w:tr>
      <w:tr w:rsidR="00216BD5" w:rsidRPr="00477BD4" w14:paraId="27213B12" w14:textId="77777777" w:rsidTr="006703BB">
        <w:trPr>
          <w:trHeight w:val="502"/>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7C66C831" w14:textId="77777777" w:rsidR="00216BD5" w:rsidRPr="00477BD4" w:rsidRDefault="00216BD5" w:rsidP="006703BB">
            <w:pPr>
              <w:jc w:val="right"/>
              <w:rPr>
                <w:color w:val="000000"/>
                <w:sz w:val="22"/>
                <w:szCs w:val="22"/>
              </w:rPr>
            </w:pPr>
            <w:r w:rsidRPr="00477BD4">
              <w:rPr>
                <w:color w:val="000000"/>
                <w:sz w:val="22"/>
                <w:szCs w:val="22"/>
              </w:rPr>
              <w:t>3.</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0E1AF956" w14:textId="77777777" w:rsidR="00216BD5" w:rsidRPr="00477BD4" w:rsidRDefault="00216BD5" w:rsidP="006703BB">
            <w:pPr>
              <w:jc w:val="left"/>
              <w:rPr>
                <w:color w:val="000000"/>
              </w:rPr>
            </w:pPr>
            <w:r w:rsidRPr="00477BD4">
              <w:rPr>
                <w:color w:val="000000"/>
              </w:rPr>
              <w:t>§ 206 Vznesenie obvinenia</w:t>
            </w:r>
          </w:p>
        </w:tc>
        <w:tc>
          <w:tcPr>
            <w:tcW w:w="591" w:type="dxa"/>
            <w:tcBorders>
              <w:top w:val="nil"/>
              <w:left w:val="nil"/>
              <w:bottom w:val="single" w:sz="8" w:space="0" w:color="auto"/>
              <w:right w:val="single" w:sz="8" w:space="0" w:color="auto"/>
            </w:tcBorders>
            <w:shd w:val="clear" w:color="000000" w:fill="FBF9D9"/>
            <w:vAlign w:val="center"/>
            <w:hideMark/>
          </w:tcPr>
          <w:p w14:paraId="3BDC238C" w14:textId="77777777" w:rsidR="00216BD5" w:rsidRPr="00477BD4" w:rsidRDefault="00216BD5" w:rsidP="006703BB">
            <w:pPr>
              <w:jc w:val="center"/>
              <w:rPr>
                <w:b/>
                <w:bCs/>
                <w:color w:val="000000"/>
              </w:rPr>
            </w:pPr>
            <w:r w:rsidRPr="00477BD4">
              <w:rPr>
                <w:b/>
                <w:bCs/>
                <w:color w:val="000000"/>
              </w:rPr>
              <w:t>35</w:t>
            </w:r>
          </w:p>
        </w:tc>
        <w:tc>
          <w:tcPr>
            <w:tcW w:w="579" w:type="dxa"/>
            <w:tcBorders>
              <w:top w:val="nil"/>
              <w:left w:val="nil"/>
              <w:bottom w:val="single" w:sz="8" w:space="0" w:color="auto"/>
              <w:right w:val="single" w:sz="8" w:space="0" w:color="auto"/>
            </w:tcBorders>
            <w:shd w:val="clear" w:color="000000" w:fill="FBF9D9"/>
            <w:vAlign w:val="center"/>
            <w:hideMark/>
          </w:tcPr>
          <w:p w14:paraId="074C7A65" w14:textId="77777777" w:rsidR="00216BD5" w:rsidRPr="00477BD4" w:rsidRDefault="00216BD5" w:rsidP="006703BB">
            <w:pPr>
              <w:jc w:val="center"/>
              <w:rPr>
                <w:b/>
                <w:bCs/>
                <w:color w:val="000000"/>
              </w:rPr>
            </w:pPr>
            <w:r w:rsidRPr="00477BD4">
              <w:rPr>
                <w:b/>
                <w:bCs/>
                <w:color w:val="000000"/>
              </w:rPr>
              <w:t>35</w:t>
            </w:r>
          </w:p>
        </w:tc>
        <w:tc>
          <w:tcPr>
            <w:tcW w:w="1040" w:type="dxa"/>
            <w:tcBorders>
              <w:top w:val="nil"/>
              <w:left w:val="nil"/>
              <w:bottom w:val="single" w:sz="8" w:space="0" w:color="auto"/>
              <w:right w:val="single" w:sz="8" w:space="0" w:color="auto"/>
            </w:tcBorders>
            <w:shd w:val="clear" w:color="000000" w:fill="FBF9D9"/>
            <w:vAlign w:val="center"/>
            <w:hideMark/>
          </w:tcPr>
          <w:p w14:paraId="1C002193" w14:textId="77777777" w:rsidR="00216BD5" w:rsidRPr="00477BD4" w:rsidRDefault="00216BD5" w:rsidP="006703BB">
            <w:pPr>
              <w:jc w:val="center"/>
              <w:rPr>
                <w:b/>
                <w:bCs/>
                <w:color w:val="000000"/>
              </w:rPr>
            </w:pPr>
            <w:r w:rsidRPr="00477BD4">
              <w:rPr>
                <w:b/>
                <w:bCs/>
                <w:color w:val="000000"/>
              </w:rPr>
              <w:t>816.656</w:t>
            </w:r>
          </w:p>
        </w:tc>
        <w:tc>
          <w:tcPr>
            <w:tcW w:w="617" w:type="dxa"/>
            <w:tcBorders>
              <w:top w:val="nil"/>
              <w:left w:val="nil"/>
              <w:bottom w:val="single" w:sz="8" w:space="0" w:color="auto"/>
              <w:right w:val="single" w:sz="8" w:space="0" w:color="auto"/>
            </w:tcBorders>
            <w:shd w:val="clear" w:color="000000" w:fill="FBF9D9"/>
            <w:vAlign w:val="center"/>
            <w:hideMark/>
          </w:tcPr>
          <w:p w14:paraId="4C14D6AC" w14:textId="77777777" w:rsidR="00216BD5" w:rsidRPr="00477BD4" w:rsidRDefault="00216BD5" w:rsidP="006703BB">
            <w:pPr>
              <w:jc w:val="center"/>
              <w:rPr>
                <w:b/>
                <w:bCs/>
                <w:color w:val="000000"/>
              </w:rPr>
            </w:pPr>
            <w:r w:rsidRPr="00477BD4">
              <w:rPr>
                <w:b/>
                <w:bCs/>
                <w:color w:val="000000"/>
              </w:rPr>
              <w:t>30</w:t>
            </w:r>
          </w:p>
        </w:tc>
        <w:tc>
          <w:tcPr>
            <w:tcW w:w="579" w:type="dxa"/>
            <w:tcBorders>
              <w:top w:val="nil"/>
              <w:left w:val="nil"/>
              <w:bottom w:val="single" w:sz="8" w:space="0" w:color="auto"/>
              <w:right w:val="single" w:sz="8" w:space="0" w:color="auto"/>
            </w:tcBorders>
            <w:shd w:val="clear" w:color="000000" w:fill="FBF9D9"/>
            <w:vAlign w:val="center"/>
            <w:hideMark/>
          </w:tcPr>
          <w:p w14:paraId="567C6F42" w14:textId="77777777" w:rsidR="00216BD5" w:rsidRPr="00477BD4" w:rsidRDefault="00216BD5" w:rsidP="006703BB">
            <w:pPr>
              <w:jc w:val="center"/>
              <w:rPr>
                <w:b/>
                <w:bCs/>
                <w:color w:val="000000"/>
              </w:rPr>
            </w:pPr>
            <w:r w:rsidRPr="00477BD4">
              <w:rPr>
                <w:b/>
                <w:bCs/>
                <w:color w:val="000000"/>
              </w:rPr>
              <w:t>48</w:t>
            </w:r>
          </w:p>
        </w:tc>
        <w:tc>
          <w:tcPr>
            <w:tcW w:w="1048" w:type="dxa"/>
            <w:tcBorders>
              <w:top w:val="nil"/>
              <w:left w:val="nil"/>
              <w:bottom w:val="single" w:sz="8" w:space="0" w:color="auto"/>
              <w:right w:val="single" w:sz="8" w:space="0" w:color="auto"/>
            </w:tcBorders>
            <w:shd w:val="clear" w:color="000000" w:fill="FBF9D9"/>
            <w:vAlign w:val="center"/>
            <w:hideMark/>
          </w:tcPr>
          <w:p w14:paraId="7EC50A98" w14:textId="77777777" w:rsidR="00216BD5" w:rsidRPr="00477BD4" w:rsidRDefault="00216BD5" w:rsidP="006703BB">
            <w:pPr>
              <w:jc w:val="center"/>
              <w:rPr>
                <w:b/>
                <w:bCs/>
                <w:color w:val="000000"/>
              </w:rPr>
            </w:pPr>
            <w:r w:rsidRPr="00477BD4">
              <w:rPr>
                <w:b/>
                <w:bCs/>
                <w:color w:val="000000"/>
              </w:rPr>
              <w:t>10.658.606</w:t>
            </w:r>
          </w:p>
        </w:tc>
        <w:tc>
          <w:tcPr>
            <w:tcW w:w="683" w:type="dxa"/>
            <w:tcBorders>
              <w:top w:val="nil"/>
              <w:left w:val="nil"/>
              <w:bottom w:val="single" w:sz="8" w:space="0" w:color="auto"/>
              <w:right w:val="single" w:sz="8" w:space="0" w:color="auto"/>
            </w:tcBorders>
            <w:shd w:val="clear" w:color="000000" w:fill="FBF9D9"/>
            <w:vAlign w:val="center"/>
            <w:hideMark/>
          </w:tcPr>
          <w:p w14:paraId="68345E54" w14:textId="77777777" w:rsidR="00216BD5" w:rsidRPr="00477BD4" w:rsidRDefault="00216BD5" w:rsidP="006703BB">
            <w:pPr>
              <w:jc w:val="center"/>
              <w:rPr>
                <w:color w:val="000000"/>
              </w:rPr>
            </w:pPr>
            <w:r w:rsidRPr="00477BD4">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3C13B91F" w14:textId="77777777" w:rsidR="00216BD5" w:rsidRPr="00477BD4" w:rsidRDefault="00216BD5" w:rsidP="006703BB">
            <w:pPr>
              <w:jc w:val="center"/>
              <w:rPr>
                <w:color w:val="000000"/>
              </w:rPr>
            </w:pPr>
            <w:r w:rsidRPr="00477BD4">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5BB1B6B9" w14:textId="77777777" w:rsidR="00216BD5" w:rsidRPr="00477BD4" w:rsidRDefault="00216BD5" w:rsidP="006703BB">
            <w:pPr>
              <w:jc w:val="center"/>
              <w:rPr>
                <w:color w:val="000000"/>
              </w:rPr>
            </w:pPr>
            <w:r w:rsidRPr="00477BD4">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4BBBB697" w14:textId="77777777" w:rsidR="00216BD5" w:rsidRPr="00477BD4" w:rsidRDefault="00216BD5" w:rsidP="006703BB">
            <w:pPr>
              <w:jc w:val="center"/>
              <w:rPr>
                <w:color w:val="000000"/>
              </w:rPr>
            </w:pPr>
            <w:r w:rsidRPr="00477BD4">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7B58A175" w14:textId="77777777" w:rsidR="00216BD5" w:rsidRPr="00477BD4" w:rsidRDefault="00216BD5" w:rsidP="006703BB">
            <w:pPr>
              <w:jc w:val="center"/>
              <w:rPr>
                <w:color w:val="000000"/>
              </w:rPr>
            </w:pPr>
            <w:r w:rsidRPr="00477BD4">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12370735" w14:textId="77777777" w:rsidR="00216BD5" w:rsidRPr="00477BD4" w:rsidRDefault="00216BD5" w:rsidP="006703BB">
            <w:pPr>
              <w:jc w:val="center"/>
              <w:rPr>
                <w:color w:val="000000"/>
              </w:rPr>
            </w:pPr>
            <w:r w:rsidRPr="00477BD4">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641C3FEA"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2ACCCEAC"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0E216E16"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3388EE0D" w14:textId="77777777" w:rsidR="00216BD5" w:rsidRPr="00477BD4" w:rsidRDefault="00216BD5" w:rsidP="006703BB">
            <w:pPr>
              <w:jc w:val="center"/>
              <w:rPr>
                <w:color w:val="000000"/>
              </w:rPr>
            </w:pPr>
            <w:r w:rsidRPr="00477BD4">
              <w:rPr>
                <w:color w:val="000000"/>
              </w:rPr>
              <w:t>-</w:t>
            </w:r>
          </w:p>
        </w:tc>
      </w:tr>
      <w:tr w:rsidR="00216BD5" w:rsidRPr="00477BD4" w14:paraId="08D86DD6" w14:textId="77777777" w:rsidTr="006703BB">
        <w:trPr>
          <w:trHeight w:val="1005"/>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40E3ECEB" w14:textId="77777777" w:rsidR="00216BD5" w:rsidRPr="00477BD4" w:rsidRDefault="00216BD5" w:rsidP="006703BB">
            <w:pPr>
              <w:jc w:val="right"/>
              <w:rPr>
                <w:color w:val="000000"/>
                <w:sz w:val="22"/>
                <w:szCs w:val="22"/>
              </w:rPr>
            </w:pPr>
            <w:r w:rsidRPr="00477BD4">
              <w:rPr>
                <w:color w:val="000000"/>
                <w:sz w:val="22"/>
                <w:szCs w:val="22"/>
              </w:rPr>
              <w:t>4.</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0304C2E0" w14:textId="77777777" w:rsidR="00216BD5" w:rsidRPr="00477BD4" w:rsidRDefault="00216BD5" w:rsidP="006703BB">
            <w:pPr>
              <w:jc w:val="left"/>
              <w:rPr>
                <w:color w:val="000000"/>
              </w:rPr>
            </w:pPr>
            <w:r w:rsidRPr="00477BD4">
              <w:rPr>
                <w:color w:val="000000"/>
              </w:rPr>
              <w:t>§ 209 Skončenie vyšetrovania a skráteného vyšetrovania s NPO</w:t>
            </w:r>
          </w:p>
        </w:tc>
        <w:tc>
          <w:tcPr>
            <w:tcW w:w="591" w:type="dxa"/>
            <w:tcBorders>
              <w:top w:val="nil"/>
              <w:left w:val="nil"/>
              <w:bottom w:val="single" w:sz="8" w:space="0" w:color="auto"/>
              <w:right w:val="single" w:sz="8" w:space="0" w:color="auto"/>
            </w:tcBorders>
            <w:shd w:val="clear" w:color="000000" w:fill="FBF9D9"/>
            <w:vAlign w:val="center"/>
            <w:hideMark/>
          </w:tcPr>
          <w:p w14:paraId="68B4B422" w14:textId="77777777" w:rsidR="00216BD5" w:rsidRPr="00477BD4" w:rsidRDefault="00216BD5" w:rsidP="006703BB">
            <w:pPr>
              <w:jc w:val="center"/>
              <w:rPr>
                <w:b/>
                <w:bCs/>
                <w:color w:val="000000"/>
              </w:rPr>
            </w:pPr>
            <w:r w:rsidRPr="00477BD4">
              <w:rPr>
                <w:b/>
                <w:bCs/>
                <w:color w:val="000000"/>
              </w:rPr>
              <w:t>17</w:t>
            </w:r>
          </w:p>
        </w:tc>
        <w:tc>
          <w:tcPr>
            <w:tcW w:w="579" w:type="dxa"/>
            <w:tcBorders>
              <w:top w:val="nil"/>
              <w:left w:val="nil"/>
              <w:bottom w:val="single" w:sz="8" w:space="0" w:color="auto"/>
              <w:right w:val="single" w:sz="8" w:space="0" w:color="auto"/>
            </w:tcBorders>
            <w:shd w:val="clear" w:color="000000" w:fill="FBF9D9"/>
            <w:vAlign w:val="center"/>
            <w:hideMark/>
          </w:tcPr>
          <w:p w14:paraId="776F755C" w14:textId="77777777" w:rsidR="00216BD5" w:rsidRPr="00477BD4" w:rsidRDefault="00216BD5" w:rsidP="006703BB">
            <w:pPr>
              <w:jc w:val="center"/>
              <w:rPr>
                <w:b/>
                <w:bCs/>
                <w:color w:val="000000"/>
              </w:rPr>
            </w:pPr>
            <w:r w:rsidRPr="00477BD4">
              <w:rPr>
                <w:b/>
                <w:bCs/>
                <w:color w:val="000000"/>
              </w:rPr>
              <w:t>32</w:t>
            </w:r>
          </w:p>
        </w:tc>
        <w:tc>
          <w:tcPr>
            <w:tcW w:w="1040" w:type="dxa"/>
            <w:tcBorders>
              <w:top w:val="nil"/>
              <w:left w:val="nil"/>
              <w:bottom w:val="single" w:sz="8" w:space="0" w:color="auto"/>
              <w:right w:val="single" w:sz="8" w:space="0" w:color="auto"/>
            </w:tcBorders>
            <w:shd w:val="clear" w:color="000000" w:fill="FBF9D9"/>
            <w:vAlign w:val="center"/>
            <w:hideMark/>
          </w:tcPr>
          <w:p w14:paraId="09F648AE" w14:textId="77777777" w:rsidR="00216BD5" w:rsidRPr="00477BD4" w:rsidRDefault="00216BD5" w:rsidP="006703BB">
            <w:pPr>
              <w:jc w:val="center"/>
              <w:rPr>
                <w:b/>
                <w:bCs/>
                <w:color w:val="000000"/>
              </w:rPr>
            </w:pPr>
            <w:r w:rsidRPr="00477BD4">
              <w:rPr>
                <w:b/>
                <w:bCs/>
                <w:color w:val="000000"/>
              </w:rPr>
              <w:t>3.047.526</w:t>
            </w:r>
          </w:p>
        </w:tc>
        <w:tc>
          <w:tcPr>
            <w:tcW w:w="617" w:type="dxa"/>
            <w:tcBorders>
              <w:top w:val="nil"/>
              <w:left w:val="nil"/>
              <w:bottom w:val="single" w:sz="8" w:space="0" w:color="auto"/>
              <w:right w:val="single" w:sz="8" w:space="0" w:color="auto"/>
            </w:tcBorders>
            <w:shd w:val="clear" w:color="000000" w:fill="FBF9D9"/>
            <w:vAlign w:val="center"/>
            <w:hideMark/>
          </w:tcPr>
          <w:p w14:paraId="484EF13C" w14:textId="77777777" w:rsidR="00216BD5" w:rsidRPr="00477BD4" w:rsidRDefault="00216BD5" w:rsidP="006703BB">
            <w:pPr>
              <w:jc w:val="center"/>
              <w:rPr>
                <w:b/>
                <w:bCs/>
                <w:color w:val="000000"/>
              </w:rPr>
            </w:pPr>
            <w:r w:rsidRPr="00477BD4">
              <w:rPr>
                <w:b/>
                <w:bCs/>
                <w:color w:val="000000"/>
              </w:rPr>
              <w:t>19</w:t>
            </w:r>
          </w:p>
        </w:tc>
        <w:tc>
          <w:tcPr>
            <w:tcW w:w="579" w:type="dxa"/>
            <w:tcBorders>
              <w:top w:val="nil"/>
              <w:left w:val="nil"/>
              <w:bottom w:val="single" w:sz="8" w:space="0" w:color="auto"/>
              <w:right w:val="single" w:sz="8" w:space="0" w:color="auto"/>
            </w:tcBorders>
            <w:shd w:val="clear" w:color="000000" w:fill="FBF9D9"/>
            <w:vAlign w:val="center"/>
            <w:hideMark/>
          </w:tcPr>
          <w:p w14:paraId="17896337" w14:textId="77777777" w:rsidR="00216BD5" w:rsidRPr="00477BD4" w:rsidRDefault="00216BD5" w:rsidP="006703BB">
            <w:pPr>
              <w:jc w:val="center"/>
              <w:rPr>
                <w:b/>
                <w:bCs/>
                <w:color w:val="000000"/>
              </w:rPr>
            </w:pPr>
            <w:r w:rsidRPr="00477BD4">
              <w:rPr>
                <w:b/>
                <w:bCs/>
                <w:color w:val="000000"/>
              </w:rPr>
              <w:t>22</w:t>
            </w:r>
          </w:p>
        </w:tc>
        <w:tc>
          <w:tcPr>
            <w:tcW w:w="1048" w:type="dxa"/>
            <w:tcBorders>
              <w:top w:val="nil"/>
              <w:left w:val="nil"/>
              <w:bottom w:val="single" w:sz="8" w:space="0" w:color="auto"/>
              <w:right w:val="single" w:sz="8" w:space="0" w:color="auto"/>
            </w:tcBorders>
            <w:shd w:val="clear" w:color="000000" w:fill="FBF9D9"/>
            <w:vAlign w:val="center"/>
            <w:hideMark/>
          </w:tcPr>
          <w:p w14:paraId="0CAFF559" w14:textId="77777777" w:rsidR="00216BD5" w:rsidRPr="00477BD4" w:rsidRDefault="00216BD5" w:rsidP="006703BB">
            <w:pPr>
              <w:jc w:val="center"/>
              <w:rPr>
                <w:b/>
                <w:bCs/>
                <w:color w:val="000000"/>
              </w:rPr>
            </w:pPr>
            <w:r w:rsidRPr="00477BD4">
              <w:rPr>
                <w:b/>
                <w:bCs/>
                <w:color w:val="000000"/>
              </w:rPr>
              <w:t>1.690.113</w:t>
            </w:r>
          </w:p>
        </w:tc>
        <w:tc>
          <w:tcPr>
            <w:tcW w:w="683" w:type="dxa"/>
            <w:tcBorders>
              <w:top w:val="nil"/>
              <w:left w:val="nil"/>
              <w:bottom w:val="single" w:sz="8" w:space="0" w:color="auto"/>
              <w:right w:val="single" w:sz="8" w:space="0" w:color="auto"/>
            </w:tcBorders>
            <w:shd w:val="clear" w:color="000000" w:fill="FBF9D9"/>
            <w:vAlign w:val="center"/>
            <w:hideMark/>
          </w:tcPr>
          <w:p w14:paraId="55640BEE" w14:textId="77777777" w:rsidR="00216BD5" w:rsidRPr="00477BD4" w:rsidRDefault="00216BD5" w:rsidP="006703BB">
            <w:pPr>
              <w:jc w:val="center"/>
              <w:rPr>
                <w:color w:val="000000"/>
              </w:rPr>
            </w:pPr>
            <w:r w:rsidRPr="00477BD4">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7A2A96EE" w14:textId="77777777" w:rsidR="00216BD5" w:rsidRPr="00477BD4" w:rsidRDefault="00216BD5" w:rsidP="006703BB">
            <w:pPr>
              <w:jc w:val="center"/>
              <w:rPr>
                <w:color w:val="000000"/>
              </w:rPr>
            </w:pPr>
            <w:r w:rsidRPr="00477BD4">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4EED10C3" w14:textId="77777777" w:rsidR="00216BD5" w:rsidRPr="00477BD4" w:rsidRDefault="00216BD5" w:rsidP="006703BB">
            <w:pPr>
              <w:jc w:val="center"/>
              <w:rPr>
                <w:color w:val="000000"/>
              </w:rPr>
            </w:pPr>
            <w:r w:rsidRPr="00477BD4">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77A8DCAE" w14:textId="77777777" w:rsidR="00216BD5" w:rsidRPr="00477BD4" w:rsidRDefault="00216BD5" w:rsidP="006703BB">
            <w:pPr>
              <w:jc w:val="center"/>
              <w:rPr>
                <w:color w:val="000000"/>
              </w:rPr>
            </w:pPr>
            <w:r w:rsidRPr="00477BD4">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2427093B" w14:textId="77777777" w:rsidR="00216BD5" w:rsidRPr="00477BD4" w:rsidRDefault="00216BD5" w:rsidP="006703BB">
            <w:pPr>
              <w:jc w:val="center"/>
              <w:rPr>
                <w:color w:val="000000"/>
              </w:rPr>
            </w:pPr>
            <w:r w:rsidRPr="00477BD4">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0899E63E" w14:textId="77777777" w:rsidR="00216BD5" w:rsidRPr="00477BD4" w:rsidRDefault="00216BD5" w:rsidP="006703BB">
            <w:pPr>
              <w:ind w:hanging="1181"/>
              <w:jc w:val="center"/>
              <w:rPr>
                <w:color w:val="000000"/>
              </w:rPr>
            </w:pPr>
            <w:r w:rsidRPr="00477BD4">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132288C8"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2EE6133C"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4B7CAF93"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09687EE3" w14:textId="77777777" w:rsidR="00216BD5" w:rsidRPr="00477BD4" w:rsidRDefault="00216BD5" w:rsidP="006703BB">
            <w:pPr>
              <w:jc w:val="center"/>
              <w:rPr>
                <w:color w:val="000000"/>
              </w:rPr>
            </w:pPr>
            <w:r w:rsidRPr="00477BD4">
              <w:rPr>
                <w:color w:val="000000"/>
              </w:rPr>
              <w:t>-</w:t>
            </w:r>
          </w:p>
        </w:tc>
      </w:tr>
      <w:tr w:rsidR="00216BD5" w:rsidRPr="00477BD4" w14:paraId="36C84353" w14:textId="77777777" w:rsidTr="006703BB">
        <w:trPr>
          <w:trHeight w:val="502"/>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71FA5406" w14:textId="77777777" w:rsidR="00216BD5" w:rsidRPr="00477BD4" w:rsidRDefault="00216BD5" w:rsidP="006703BB">
            <w:pPr>
              <w:jc w:val="right"/>
              <w:rPr>
                <w:color w:val="000000"/>
                <w:sz w:val="22"/>
                <w:szCs w:val="22"/>
              </w:rPr>
            </w:pPr>
            <w:r w:rsidRPr="00477BD4">
              <w:rPr>
                <w:color w:val="000000"/>
                <w:sz w:val="22"/>
                <w:szCs w:val="22"/>
              </w:rPr>
              <w:t>5.</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2B766D9B" w14:textId="77777777" w:rsidR="00216BD5" w:rsidRPr="00477BD4" w:rsidRDefault="00216BD5" w:rsidP="006703BB">
            <w:pPr>
              <w:jc w:val="left"/>
              <w:rPr>
                <w:color w:val="000000"/>
              </w:rPr>
            </w:pPr>
            <w:r w:rsidRPr="00477BD4">
              <w:rPr>
                <w:color w:val="000000"/>
              </w:rPr>
              <w:t>§ 215 Zastavenie trestného stíhania</w:t>
            </w:r>
          </w:p>
        </w:tc>
        <w:tc>
          <w:tcPr>
            <w:tcW w:w="591" w:type="dxa"/>
            <w:tcBorders>
              <w:top w:val="nil"/>
              <w:left w:val="nil"/>
              <w:bottom w:val="single" w:sz="8" w:space="0" w:color="auto"/>
              <w:right w:val="single" w:sz="8" w:space="0" w:color="auto"/>
            </w:tcBorders>
            <w:shd w:val="clear" w:color="000000" w:fill="FBF9D9"/>
            <w:vAlign w:val="center"/>
            <w:hideMark/>
          </w:tcPr>
          <w:p w14:paraId="79579DB6" w14:textId="77777777" w:rsidR="00216BD5" w:rsidRPr="00477BD4" w:rsidRDefault="00216BD5" w:rsidP="006703BB">
            <w:pPr>
              <w:jc w:val="center"/>
              <w:rPr>
                <w:b/>
                <w:bCs/>
                <w:color w:val="000000"/>
              </w:rPr>
            </w:pPr>
            <w:r w:rsidRPr="00477BD4">
              <w:rPr>
                <w:b/>
                <w:bCs/>
                <w:color w:val="000000"/>
              </w:rPr>
              <w:t>8</w:t>
            </w:r>
          </w:p>
        </w:tc>
        <w:tc>
          <w:tcPr>
            <w:tcW w:w="579" w:type="dxa"/>
            <w:tcBorders>
              <w:top w:val="nil"/>
              <w:left w:val="nil"/>
              <w:bottom w:val="single" w:sz="8" w:space="0" w:color="auto"/>
              <w:right w:val="single" w:sz="8" w:space="0" w:color="auto"/>
            </w:tcBorders>
            <w:shd w:val="clear" w:color="000000" w:fill="FBF9D9"/>
            <w:vAlign w:val="center"/>
            <w:hideMark/>
          </w:tcPr>
          <w:p w14:paraId="314A371E" w14:textId="77777777" w:rsidR="00216BD5" w:rsidRPr="00477BD4" w:rsidRDefault="00216BD5" w:rsidP="006703BB">
            <w:pPr>
              <w:jc w:val="center"/>
              <w:rPr>
                <w:b/>
                <w:bCs/>
                <w:color w:val="000000"/>
              </w:rPr>
            </w:pPr>
            <w:r w:rsidRPr="00477BD4">
              <w:rPr>
                <w:b/>
                <w:bCs/>
                <w:color w:val="000000"/>
              </w:rPr>
              <w:t>2</w:t>
            </w:r>
          </w:p>
        </w:tc>
        <w:tc>
          <w:tcPr>
            <w:tcW w:w="1040" w:type="dxa"/>
            <w:tcBorders>
              <w:top w:val="nil"/>
              <w:left w:val="nil"/>
              <w:bottom w:val="single" w:sz="8" w:space="0" w:color="auto"/>
              <w:right w:val="single" w:sz="8" w:space="0" w:color="auto"/>
            </w:tcBorders>
            <w:shd w:val="clear" w:color="000000" w:fill="FBF9D9"/>
            <w:vAlign w:val="center"/>
            <w:hideMark/>
          </w:tcPr>
          <w:p w14:paraId="0731583D" w14:textId="77777777" w:rsidR="00216BD5" w:rsidRPr="00477BD4" w:rsidRDefault="00216BD5" w:rsidP="006703BB">
            <w:pPr>
              <w:jc w:val="center"/>
              <w:rPr>
                <w:b/>
                <w:bCs/>
                <w:color w:val="000000"/>
              </w:rPr>
            </w:pPr>
            <w:r w:rsidRPr="00477BD4">
              <w:rPr>
                <w:b/>
                <w:bCs/>
                <w:color w:val="000000"/>
              </w:rPr>
              <w:t>26.604</w:t>
            </w:r>
          </w:p>
        </w:tc>
        <w:tc>
          <w:tcPr>
            <w:tcW w:w="617" w:type="dxa"/>
            <w:tcBorders>
              <w:top w:val="nil"/>
              <w:left w:val="nil"/>
              <w:bottom w:val="single" w:sz="8" w:space="0" w:color="auto"/>
              <w:right w:val="single" w:sz="8" w:space="0" w:color="auto"/>
            </w:tcBorders>
            <w:shd w:val="clear" w:color="000000" w:fill="FBF9D9"/>
            <w:vAlign w:val="center"/>
            <w:hideMark/>
          </w:tcPr>
          <w:p w14:paraId="0B12C393" w14:textId="77777777" w:rsidR="00216BD5" w:rsidRPr="00477BD4" w:rsidRDefault="00216BD5" w:rsidP="006703BB">
            <w:pPr>
              <w:jc w:val="center"/>
              <w:rPr>
                <w:b/>
                <w:bCs/>
                <w:color w:val="000000"/>
              </w:rPr>
            </w:pPr>
            <w:r w:rsidRPr="00477BD4">
              <w:rPr>
                <w:b/>
                <w:bCs/>
                <w:color w:val="000000"/>
              </w:rPr>
              <w:t>3</w:t>
            </w:r>
          </w:p>
        </w:tc>
        <w:tc>
          <w:tcPr>
            <w:tcW w:w="579" w:type="dxa"/>
            <w:tcBorders>
              <w:top w:val="nil"/>
              <w:left w:val="nil"/>
              <w:bottom w:val="single" w:sz="8" w:space="0" w:color="auto"/>
              <w:right w:val="single" w:sz="8" w:space="0" w:color="auto"/>
            </w:tcBorders>
            <w:shd w:val="clear" w:color="000000" w:fill="FBF9D9"/>
            <w:vAlign w:val="center"/>
            <w:hideMark/>
          </w:tcPr>
          <w:p w14:paraId="69E5A6B5" w14:textId="77777777" w:rsidR="00216BD5" w:rsidRPr="00477BD4" w:rsidRDefault="00216BD5" w:rsidP="006703BB">
            <w:pPr>
              <w:jc w:val="center"/>
              <w:rPr>
                <w:b/>
                <w:bCs/>
                <w:color w:val="000000"/>
              </w:rPr>
            </w:pPr>
            <w:r w:rsidRPr="00477BD4">
              <w:rPr>
                <w:b/>
                <w:bCs/>
                <w:color w:val="000000"/>
              </w:rPr>
              <w:t>3</w:t>
            </w:r>
          </w:p>
        </w:tc>
        <w:tc>
          <w:tcPr>
            <w:tcW w:w="1048" w:type="dxa"/>
            <w:tcBorders>
              <w:top w:val="nil"/>
              <w:left w:val="nil"/>
              <w:bottom w:val="single" w:sz="8" w:space="0" w:color="auto"/>
              <w:right w:val="single" w:sz="8" w:space="0" w:color="auto"/>
            </w:tcBorders>
            <w:shd w:val="clear" w:color="000000" w:fill="FBF9D9"/>
            <w:vAlign w:val="center"/>
            <w:hideMark/>
          </w:tcPr>
          <w:p w14:paraId="2A395276" w14:textId="77777777" w:rsidR="00216BD5" w:rsidRPr="00477BD4" w:rsidRDefault="00216BD5" w:rsidP="006703BB">
            <w:pPr>
              <w:jc w:val="center"/>
              <w:rPr>
                <w:b/>
                <w:bCs/>
                <w:color w:val="000000"/>
              </w:rPr>
            </w:pPr>
            <w:r w:rsidRPr="00477BD4">
              <w:rPr>
                <w:b/>
                <w:bCs/>
                <w:color w:val="000000"/>
              </w:rPr>
              <w:t>8.011.851</w:t>
            </w:r>
          </w:p>
        </w:tc>
        <w:tc>
          <w:tcPr>
            <w:tcW w:w="683" w:type="dxa"/>
            <w:tcBorders>
              <w:top w:val="nil"/>
              <w:left w:val="nil"/>
              <w:bottom w:val="single" w:sz="8" w:space="0" w:color="auto"/>
              <w:right w:val="single" w:sz="8" w:space="0" w:color="auto"/>
            </w:tcBorders>
            <w:shd w:val="clear" w:color="000000" w:fill="FBF9D9"/>
            <w:vAlign w:val="center"/>
            <w:hideMark/>
          </w:tcPr>
          <w:p w14:paraId="741D3123" w14:textId="77777777" w:rsidR="00216BD5" w:rsidRPr="00477BD4" w:rsidRDefault="00216BD5" w:rsidP="006703BB">
            <w:pPr>
              <w:jc w:val="center"/>
              <w:rPr>
                <w:color w:val="000000"/>
              </w:rPr>
            </w:pPr>
            <w:r w:rsidRPr="00477BD4">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1EF2F55E" w14:textId="77777777" w:rsidR="00216BD5" w:rsidRPr="00477BD4" w:rsidRDefault="00216BD5" w:rsidP="006703BB">
            <w:pPr>
              <w:jc w:val="center"/>
              <w:rPr>
                <w:color w:val="000000"/>
              </w:rPr>
            </w:pPr>
            <w:r w:rsidRPr="00477BD4">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69BBCEF8" w14:textId="77777777" w:rsidR="00216BD5" w:rsidRPr="00477BD4" w:rsidRDefault="00216BD5" w:rsidP="006703BB">
            <w:pPr>
              <w:jc w:val="center"/>
              <w:rPr>
                <w:color w:val="000000"/>
              </w:rPr>
            </w:pPr>
            <w:r w:rsidRPr="00477BD4">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64FFE64B" w14:textId="77777777" w:rsidR="00216BD5" w:rsidRPr="00477BD4" w:rsidRDefault="00216BD5" w:rsidP="006703BB">
            <w:pPr>
              <w:jc w:val="center"/>
              <w:rPr>
                <w:color w:val="000000"/>
              </w:rPr>
            </w:pPr>
            <w:r w:rsidRPr="00477BD4">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4832C228" w14:textId="77777777" w:rsidR="00216BD5" w:rsidRPr="00477BD4" w:rsidRDefault="00216BD5" w:rsidP="006703BB">
            <w:pPr>
              <w:jc w:val="center"/>
              <w:rPr>
                <w:color w:val="000000"/>
              </w:rPr>
            </w:pPr>
            <w:r w:rsidRPr="00477BD4">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5E4F5C7C" w14:textId="77777777" w:rsidR="00216BD5" w:rsidRPr="00477BD4" w:rsidRDefault="00216BD5" w:rsidP="006703BB">
            <w:pPr>
              <w:jc w:val="center"/>
              <w:rPr>
                <w:color w:val="000000"/>
              </w:rPr>
            </w:pPr>
            <w:r w:rsidRPr="00477BD4">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259BE6BA"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68EF33B3"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3B9F5AD4"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6B6C5A12" w14:textId="77777777" w:rsidR="00216BD5" w:rsidRPr="00477BD4" w:rsidRDefault="00216BD5" w:rsidP="006703BB">
            <w:pPr>
              <w:jc w:val="center"/>
              <w:rPr>
                <w:color w:val="000000"/>
              </w:rPr>
            </w:pPr>
            <w:r w:rsidRPr="00477BD4">
              <w:rPr>
                <w:color w:val="000000"/>
              </w:rPr>
              <w:t>-</w:t>
            </w:r>
          </w:p>
        </w:tc>
      </w:tr>
      <w:tr w:rsidR="00216BD5" w:rsidRPr="00477BD4" w14:paraId="1AFB25C4" w14:textId="77777777" w:rsidTr="006703BB">
        <w:trPr>
          <w:trHeight w:val="753"/>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3BCB9873" w14:textId="77777777" w:rsidR="00216BD5" w:rsidRPr="00477BD4" w:rsidRDefault="00216BD5" w:rsidP="006703BB">
            <w:pPr>
              <w:jc w:val="right"/>
              <w:rPr>
                <w:color w:val="000000"/>
                <w:sz w:val="22"/>
                <w:szCs w:val="22"/>
              </w:rPr>
            </w:pPr>
            <w:r w:rsidRPr="00477BD4">
              <w:rPr>
                <w:color w:val="000000"/>
                <w:sz w:val="22"/>
                <w:szCs w:val="22"/>
              </w:rPr>
              <w:t>6.</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0CA450B1" w14:textId="77777777" w:rsidR="00216BD5" w:rsidRPr="00477BD4" w:rsidRDefault="00216BD5" w:rsidP="006703BB">
            <w:pPr>
              <w:jc w:val="left"/>
              <w:rPr>
                <w:color w:val="000000"/>
              </w:rPr>
            </w:pPr>
            <w:r w:rsidRPr="00477BD4">
              <w:rPr>
                <w:color w:val="000000"/>
              </w:rPr>
              <w:t>§ 228 ods. 1, 2 Prerušenie trestného stíhania</w:t>
            </w:r>
          </w:p>
        </w:tc>
        <w:tc>
          <w:tcPr>
            <w:tcW w:w="591" w:type="dxa"/>
            <w:tcBorders>
              <w:top w:val="nil"/>
              <w:left w:val="nil"/>
              <w:bottom w:val="single" w:sz="8" w:space="0" w:color="auto"/>
              <w:right w:val="single" w:sz="8" w:space="0" w:color="auto"/>
            </w:tcBorders>
            <w:shd w:val="clear" w:color="000000" w:fill="FBF9D9"/>
            <w:vAlign w:val="center"/>
            <w:hideMark/>
          </w:tcPr>
          <w:p w14:paraId="16B852C5" w14:textId="77777777" w:rsidR="00216BD5" w:rsidRPr="00477BD4" w:rsidRDefault="00216BD5" w:rsidP="006703BB">
            <w:pPr>
              <w:jc w:val="center"/>
              <w:rPr>
                <w:b/>
                <w:bCs/>
                <w:color w:val="000000"/>
              </w:rPr>
            </w:pPr>
            <w:r w:rsidRPr="00477BD4">
              <w:rPr>
                <w:b/>
                <w:bCs/>
                <w:color w:val="000000"/>
              </w:rPr>
              <w:t>47</w:t>
            </w:r>
          </w:p>
        </w:tc>
        <w:tc>
          <w:tcPr>
            <w:tcW w:w="579" w:type="dxa"/>
            <w:tcBorders>
              <w:top w:val="nil"/>
              <w:left w:val="nil"/>
              <w:bottom w:val="single" w:sz="8" w:space="0" w:color="auto"/>
              <w:right w:val="single" w:sz="8" w:space="0" w:color="auto"/>
            </w:tcBorders>
            <w:shd w:val="clear" w:color="000000" w:fill="FBF9D9"/>
            <w:vAlign w:val="center"/>
            <w:hideMark/>
          </w:tcPr>
          <w:p w14:paraId="384C1972" w14:textId="77777777" w:rsidR="00216BD5" w:rsidRPr="00477BD4" w:rsidRDefault="00216BD5" w:rsidP="006703BB">
            <w:pPr>
              <w:jc w:val="center"/>
              <w:rPr>
                <w:b/>
                <w:bCs/>
                <w:color w:val="000000"/>
              </w:rPr>
            </w:pPr>
            <w:r w:rsidRPr="00477BD4">
              <w:rPr>
                <w:b/>
                <w:bCs/>
                <w:color w:val="000000"/>
              </w:rPr>
              <w:t>11</w:t>
            </w:r>
          </w:p>
        </w:tc>
        <w:tc>
          <w:tcPr>
            <w:tcW w:w="1040" w:type="dxa"/>
            <w:tcBorders>
              <w:top w:val="nil"/>
              <w:left w:val="nil"/>
              <w:bottom w:val="single" w:sz="8" w:space="0" w:color="auto"/>
              <w:right w:val="single" w:sz="8" w:space="0" w:color="auto"/>
            </w:tcBorders>
            <w:shd w:val="clear" w:color="000000" w:fill="FBF9D9"/>
            <w:vAlign w:val="center"/>
            <w:hideMark/>
          </w:tcPr>
          <w:p w14:paraId="5A790800" w14:textId="77777777" w:rsidR="00216BD5" w:rsidRPr="00477BD4" w:rsidRDefault="00216BD5" w:rsidP="006703BB">
            <w:pPr>
              <w:jc w:val="center"/>
              <w:rPr>
                <w:b/>
                <w:bCs/>
                <w:color w:val="000000"/>
              </w:rPr>
            </w:pPr>
            <w:r w:rsidRPr="00477BD4">
              <w:rPr>
                <w:b/>
                <w:bCs/>
                <w:color w:val="000000"/>
              </w:rPr>
              <w:t>914.594</w:t>
            </w:r>
          </w:p>
        </w:tc>
        <w:tc>
          <w:tcPr>
            <w:tcW w:w="617" w:type="dxa"/>
            <w:tcBorders>
              <w:top w:val="nil"/>
              <w:left w:val="nil"/>
              <w:bottom w:val="single" w:sz="8" w:space="0" w:color="auto"/>
              <w:right w:val="single" w:sz="8" w:space="0" w:color="auto"/>
            </w:tcBorders>
            <w:shd w:val="clear" w:color="000000" w:fill="FBF9D9"/>
            <w:vAlign w:val="center"/>
            <w:hideMark/>
          </w:tcPr>
          <w:p w14:paraId="7034BCD1" w14:textId="77777777" w:rsidR="00216BD5" w:rsidRPr="00477BD4" w:rsidRDefault="00216BD5" w:rsidP="006703BB">
            <w:pPr>
              <w:jc w:val="center"/>
              <w:rPr>
                <w:b/>
                <w:bCs/>
                <w:color w:val="000000"/>
              </w:rPr>
            </w:pPr>
            <w:r w:rsidRPr="00477BD4">
              <w:rPr>
                <w:b/>
                <w:bCs/>
                <w:color w:val="000000"/>
              </w:rPr>
              <w:t>42</w:t>
            </w:r>
          </w:p>
        </w:tc>
        <w:tc>
          <w:tcPr>
            <w:tcW w:w="579" w:type="dxa"/>
            <w:tcBorders>
              <w:top w:val="nil"/>
              <w:left w:val="nil"/>
              <w:bottom w:val="single" w:sz="8" w:space="0" w:color="auto"/>
              <w:right w:val="single" w:sz="8" w:space="0" w:color="auto"/>
            </w:tcBorders>
            <w:shd w:val="clear" w:color="000000" w:fill="FBF9D9"/>
            <w:vAlign w:val="center"/>
            <w:hideMark/>
          </w:tcPr>
          <w:p w14:paraId="323C8F71" w14:textId="77777777" w:rsidR="00216BD5" w:rsidRPr="00477BD4" w:rsidRDefault="00216BD5" w:rsidP="006703BB">
            <w:pPr>
              <w:jc w:val="center"/>
              <w:rPr>
                <w:b/>
                <w:bCs/>
                <w:color w:val="000000"/>
              </w:rPr>
            </w:pPr>
            <w:r w:rsidRPr="00477BD4">
              <w:rPr>
                <w:b/>
                <w:bCs/>
                <w:color w:val="000000"/>
              </w:rPr>
              <w:t>5</w:t>
            </w:r>
          </w:p>
        </w:tc>
        <w:tc>
          <w:tcPr>
            <w:tcW w:w="1048" w:type="dxa"/>
            <w:tcBorders>
              <w:top w:val="nil"/>
              <w:left w:val="nil"/>
              <w:bottom w:val="single" w:sz="8" w:space="0" w:color="auto"/>
              <w:right w:val="single" w:sz="8" w:space="0" w:color="auto"/>
            </w:tcBorders>
            <w:shd w:val="clear" w:color="000000" w:fill="FBF9D9"/>
            <w:vAlign w:val="center"/>
            <w:hideMark/>
          </w:tcPr>
          <w:p w14:paraId="5857C315" w14:textId="77777777" w:rsidR="00216BD5" w:rsidRPr="00477BD4" w:rsidRDefault="00216BD5" w:rsidP="006703BB">
            <w:pPr>
              <w:jc w:val="center"/>
              <w:rPr>
                <w:b/>
                <w:bCs/>
                <w:color w:val="000000"/>
              </w:rPr>
            </w:pPr>
            <w:r w:rsidRPr="00477BD4">
              <w:rPr>
                <w:b/>
                <w:bCs/>
                <w:color w:val="000000"/>
              </w:rPr>
              <w:t>1.125.264</w:t>
            </w:r>
          </w:p>
        </w:tc>
        <w:tc>
          <w:tcPr>
            <w:tcW w:w="683" w:type="dxa"/>
            <w:tcBorders>
              <w:top w:val="nil"/>
              <w:left w:val="nil"/>
              <w:bottom w:val="single" w:sz="8" w:space="0" w:color="auto"/>
              <w:right w:val="single" w:sz="8" w:space="0" w:color="auto"/>
            </w:tcBorders>
            <w:shd w:val="clear" w:color="000000" w:fill="FBF9D9"/>
            <w:vAlign w:val="center"/>
            <w:hideMark/>
          </w:tcPr>
          <w:p w14:paraId="39E3DF16" w14:textId="77777777" w:rsidR="00216BD5" w:rsidRPr="00477BD4" w:rsidRDefault="00216BD5" w:rsidP="006703BB">
            <w:pPr>
              <w:jc w:val="center"/>
              <w:rPr>
                <w:color w:val="000000"/>
              </w:rPr>
            </w:pPr>
            <w:r w:rsidRPr="00477BD4">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75F21C64" w14:textId="77777777" w:rsidR="00216BD5" w:rsidRPr="00477BD4" w:rsidRDefault="00216BD5" w:rsidP="006703BB">
            <w:pPr>
              <w:jc w:val="center"/>
              <w:rPr>
                <w:color w:val="000000"/>
              </w:rPr>
            </w:pPr>
            <w:r w:rsidRPr="00477BD4">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64381A84" w14:textId="77777777" w:rsidR="00216BD5" w:rsidRPr="00477BD4" w:rsidRDefault="00216BD5" w:rsidP="006703BB">
            <w:pPr>
              <w:jc w:val="center"/>
              <w:rPr>
                <w:color w:val="000000"/>
              </w:rPr>
            </w:pPr>
            <w:r w:rsidRPr="00477BD4">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575E3343" w14:textId="77777777" w:rsidR="00216BD5" w:rsidRPr="00477BD4" w:rsidRDefault="00216BD5" w:rsidP="006703BB">
            <w:pPr>
              <w:jc w:val="center"/>
              <w:rPr>
                <w:color w:val="000000"/>
              </w:rPr>
            </w:pPr>
            <w:r w:rsidRPr="00477BD4">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53E16E1A" w14:textId="77777777" w:rsidR="00216BD5" w:rsidRPr="00477BD4" w:rsidRDefault="00216BD5" w:rsidP="006703BB">
            <w:pPr>
              <w:jc w:val="center"/>
              <w:rPr>
                <w:color w:val="000000"/>
              </w:rPr>
            </w:pPr>
            <w:r w:rsidRPr="00477BD4">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0A49B058" w14:textId="77777777" w:rsidR="00216BD5" w:rsidRPr="00477BD4" w:rsidRDefault="00216BD5" w:rsidP="006703BB">
            <w:pPr>
              <w:jc w:val="center"/>
              <w:rPr>
                <w:color w:val="000000"/>
              </w:rPr>
            </w:pPr>
            <w:r w:rsidRPr="00477BD4">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47FECBBA"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14DA7B69"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1CBD20A5"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1E9A27F2" w14:textId="77777777" w:rsidR="00216BD5" w:rsidRPr="00477BD4" w:rsidRDefault="00216BD5" w:rsidP="006703BB">
            <w:pPr>
              <w:jc w:val="center"/>
              <w:rPr>
                <w:color w:val="000000"/>
              </w:rPr>
            </w:pPr>
            <w:r w:rsidRPr="00477BD4">
              <w:rPr>
                <w:color w:val="000000"/>
              </w:rPr>
              <w:t>-</w:t>
            </w:r>
          </w:p>
        </w:tc>
      </w:tr>
      <w:tr w:rsidR="00216BD5" w:rsidRPr="00477BD4" w14:paraId="1E83D81D" w14:textId="77777777" w:rsidTr="006703BB">
        <w:trPr>
          <w:trHeight w:val="753"/>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2FE4822E" w14:textId="77777777" w:rsidR="00216BD5" w:rsidRPr="00477BD4" w:rsidRDefault="00216BD5" w:rsidP="006703BB">
            <w:pPr>
              <w:jc w:val="right"/>
              <w:rPr>
                <w:color w:val="000000"/>
                <w:sz w:val="22"/>
                <w:szCs w:val="22"/>
              </w:rPr>
            </w:pPr>
            <w:r w:rsidRPr="00477BD4">
              <w:rPr>
                <w:color w:val="000000"/>
                <w:sz w:val="22"/>
                <w:szCs w:val="22"/>
              </w:rPr>
              <w:t>7.</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6C62FE78" w14:textId="77777777" w:rsidR="00216BD5" w:rsidRPr="00477BD4" w:rsidRDefault="00216BD5" w:rsidP="006703BB">
            <w:pPr>
              <w:jc w:val="left"/>
              <w:rPr>
                <w:color w:val="000000"/>
              </w:rPr>
            </w:pPr>
            <w:r w:rsidRPr="00477BD4">
              <w:rPr>
                <w:color w:val="000000"/>
              </w:rPr>
              <w:t>§ 228 ods. 5 Pokračovanie v trestnom stíhaní</w:t>
            </w:r>
          </w:p>
        </w:tc>
        <w:tc>
          <w:tcPr>
            <w:tcW w:w="591" w:type="dxa"/>
            <w:tcBorders>
              <w:top w:val="nil"/>
              <w:left w:val="nil"/>
              <w:bottom w:val="single" w:sz="8" w:space="0" w:color="auto"/>
              <w:right w:val="single" w:sz="8" w:space="0" w:color="auto"/>
            </w:tcBorders>
            <w:shd w:val="clear" w:color="000000" w:fill="FBF9D9"/>
            <w:vAlign w:val="center"/>
            <w:hideMark/>
          </w:tcPr>
          <w:p w14:paraId="2CC920AE" w14:textId="77777777" w:rsidR="00216BD5" w:rsidRPr="00477BD4" w:rsidRDefault="00216BD5" w:rsidP="006703BB">
            <w:pPr>
              <w:jc w:val="center"/>
              <w:rPr>
                <w:b/>
                <w:bCs/>
                <w:color w:val="000000"/>
              </w:rPr>
            </w:pPr>
            <w:r w:rsidRPr="00477BD4">
              <w:rPr>
                <w:b/>
                <w:bCs/>
                <w:color w:val="000000"/>
              </w:rPr>
              <w:t>21</w:t>
            </w:r>
          </w:p>
        </w:tc>
        <w:tc>
          <w:tcPr>
            <w:tcW w:w="579" w:type="dxa"/>
            <w:tcBorders>
              <w:top w:val="nil"/>
              <w:left w:val="nil"/>
              <w:bottom w:val="single" w:sz="8" w:space="0" w:color="auto"/>
              <w:right w:val="single" w:sz="8" w:space="0" w:color="auto"/>
            </w:tcBorders>
            <w:shd w:val="clear" w:color="000000" w:fill="FBF9D9"/>
            <w:vAlign w:val="center"/>
            <w:hideMark/>
          </w:tcPr>
          <w:p w14:paraId="3AF77A05" w14:textId="77777777" w:rsidR="00216BD5" w:rsidRPr="00477BD4" w:rsidRDefault="00216BD5" w:rsidP="006703BB">
            <w:pPr>
              <w:jc w:val="center"/>
              <w:rPr>
                <w:b/>
                <w:bCs/>
                <w:color w:val="000000"/>
              </w:rPr>
            </w:pPr>
            <w:r w:rsidRPr="00477BD4">
              <w:rPr>
                <w:b/>
                <w:bCs/>
                <w:color w:val="000000"/>
              </w:rPr>
              <w:t>5</w:t>
            </w:r>
          </w:p>
        </w:tc>
        <w:tc>
          <w:tcPr>
            <w:tcW w:w="1040" w:type="dxa"/>
            <w:tcBorders>
              <w:top w:val="nil"/>
              <w:left w:val="nil"/>
              <w:bottom w:val="single" w:sz="8" w:space="0" w:color="auto"/>
              <w:right w:val="single" w:sz="8" w:space="0" w:color="auto"/>
            </w:tcBorders>
            <w:shd w:val="clear" w:color="000000" w:fill="FBF9D9"/>
            <w:vAlign w:val="center"/>
            <w:hideMark/>
          </w:tcPr>
          <w:p w14:paraId="4310DE3E" w14:textId="77777777" w:rsidR="00216BD5" w:rsidRPr="00477BD4" w:rsidRDefault="00216BD5" w:rsidP="006703BB">
            <w:pPr>
              <w:jc w:val="center"/>
              <w:rPr>
                <w:color w:val="000000"/>
              </w:rPr>
            </w:pPr>
            <w:r w:rsidRPr="00477BD4">
              <w:rPr>
                <w:color w:val="000000"/>
              </w:rPr>
              <w:t>-</w:t>
            </w:r>
          </w:p>
        </w:tc>
        <w:tc>
          <w:tcPr>
            <w:tcW w:w="617" w:type="dxa"/>
            <w:tcBorders>
              <w:top w:val="nil"/>
              <w:left w:val="nil"/>
              <w:bottom w:val="single" w:sz="8" w:space="0" w:color="auto"/>
              <w:right w:val="single" w:sz="8" w:space="0" w:color="auto"/>
            </w:tcBorders>
            <w:shd w:val="clear" w:color="000000" w:fill="FBF9D9"/>
            <w:vAlign w:val="center"/>
            <w:hideMark/>
          </w:tcPr>
          <w:p w14:paraId="792AD4D9" w14:textId="77777777" w:rsidR="00216BD5" w:rsidRPr="00477BD4" w:rsidRDefault="00216BD5" w:rsidP="006703BB">
            <w:pPr>
              <w:jc w:val="center"/>
              <w:rPr>
                <w:b/>
                <w:bCs/>
                <w:color w:val="000000"/>
              </w:rPr>
            </w:pPr>
            <w:r w:rsidRPr="00477BD4">
              <w:rPr>
                <w:b/>
                <w:bCs/>
                <w:color w:val="000000"/>
              </w:rPr>
              <w:t>16</w:t>
            </w:r>
          </w:p>
        </w:tc>
        <w:tc>
          <w:tcPr>
            <w:tcW w:w="579" w:type="dxa"/>
            <w:tcBorders>
              <w:top w:val="nil"/>
              <w:left w:val="nil"/>
              <w:bottom w:val="single" w:sz="8" w:space="0" w:color="auto"/>
              <w:right w:val="single" w:sz="8" w:space="0" w:color="auto"/>
            </w:tcBorders>
            <w:shd w:val="clear" w:color="000000" w:fill="FBF9D9"/>
            <w:vAlign w:val="center"/>
            <w:hideMark/>
          </w:tcPr>
          <w:p w14:paraId="7B349159" w14:textId="77777777" w:rsidR="00216BD5" w:rsidRPr="00477BD4" w:rsidRDefault="00216BD5" w:rsidP="006703BB">
            <w:pPr>
              <w:jc w:val="center"/>
              <w:rPr>
                <w:b/>
                <w:bCs/>
                <w:color w:val="000000"/>
              </w:rPr>
            </w:pPr>
            <w:r w:rsidRPr="00477BD4">
              <w:rPr>
                <w:b/>
                <w:bCs/>
                <w:color w:val="000000"/>
              </w:rPr>
              <w:t>7</w:t>
            </w:r>
          </w:p>
        </w:tc>
        <w:tc>
          <w:tcPr>
            <w:tcW w:w="1048" w:type="dxa"/>
            <w:tcBorders>
              <w:top w:val="nil"/>
              <w:left w:val="nil"/>
              <w:bottom w:val="single" w:sz="8" w:space="0" w:color="auto"/>
              <w:right w:val="single" w:sz="8" w:space="0" w:color="auto"/>
            </w:tcBorders>
            <w:shd w:val="clear" w:color="000000" w:fill="FBF9D9"/>
            <w:vAlign w:val="center"/>
            <w:hideMark/>
          </w:tcPr>
          <w:p w14:paraId="2AB90196" w14:textId="77777777" w:rsidR="00216BD5" w:rsidRPr="00477BD4" w:rsidRDefault="00216BD5" w:rsidP="006703BB">
            <w:pPr>
              <w:jc w:val="center"/>
              <w:rPr>
                <w:b/>
                <w:bCs/>
                <w:color w:val="000000"/>
              </w:rPr>
            </w:pPr>
            <w:r w:rsidRPr="00477BD4">
              <w:rPr>
                <w:b/>
                <w:bCs/>
                <w:color w:val="000000"/>
              </w:rPr>
              <w:t>448.171</w:t>
            </w:r>
          </w:p>
        </w:tc>
        <w:tc>
          <w:tcPr>
            <w:tcW w:w="683" w:type="dxa"/>
            <w:tcBorders>
              <w:top w:val="nil"/>
              <w:left w:val="nil"/>
              <w:bottom w:val="single" w:sz="8" w:space="0" w:color="auto"/>
              <w:right w:val="single" w:sz="8" w:space="0" w:color="auto"/>
            </w:tcBorders>
            <w:shd w:val="clear" w:color="000000" w:fill="FBF9D9"/>
            <w:vAlign w:val="center"/>
            <w:hideMark/>
          </w:tcPr>
          <w:p w14:paraId="167EB3E2" w14:textId="77777777" w:rsidR="00216BD5" w:rsidRPr="00477BD4" w:rsidRDefault="00216BD5" w:rsidP="006703BB">
            <w:pPr>
              <w:jc w:val="center"/>
              <w:rPr>
                <w:color w:val="000000"/>
              </w:rPr>
            </w:pPr>
            <w:r w:rsidRPr="00477BD4">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15C79728" w14:textId="77777777" w:rsidR="00216BD5" w:rsidRPr="00477BD4" w:rsidRDefault="00216BD5" w:rsidP="006703BB">
            <w:pPr>
              <w:jc w:val="center"/>
              <w:rPr>
                <w:color w:val="000000"/>
              </w:rPr>
            </w:pPr>
            <w:r w:rsidRPr="00477BD4">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24FE99E6" w14:textId="77777777" w:rsidR="00216BD5" w:rsidRPr="00477BD4" w:rsidRDefault="00216BD5" w:rsidP="006703BB">
            <w:pPr>
              <w:jc w:val="center"/>
              <w:rPr>
                <w:color w:val="000000"/>
              </w:rPr>
            </w:pPr>
            <w:r w:rsidRPr="00477BD4">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5662C127" w14:textId="77777777" w:rsidR="00216BD5" w:rsidRPr="00477BD4" w:rsidRDefault="00216BD5" w:rsidP="006703BB">
            <w:pPr>
              <w:jc w:val="center"/>
              <w:rPr>
                <w:color w:val="000000"/>
              </w:rPr>
            </w:pPr>
            <w:r w:rsidRPr="00477BD4">
              <w:rPr>
                <w:color w:val="000000"/>
              </w:rPr>
              <w:t>-</w:t>
            </w:r>
          </w:p>
        </w:tc>
        <w:tc>
          <w:tcPr>
            <w:tcW w:w="743" w:type="dxa"/>
            <w:tcBorders>
              <w:top w:val="nil"/>
              <w:left w:val="nil"/>
              <w:bottom w:val="single" w:sz="8" w:space="0" w:color="auto"/>
              <w:right w:val="single" w:sz="8" w:space="0" w:color="auto"/>
            </w:tcBorders>
            <w:shd w:val="clear" w:color="000000" w:fill="FBF9D9"/>
            <w:vAlign w:val="center"/>
            <w:hideMark/>
          </w:tcPr>
          <w:p w14:paraId="2598E2A4" w14:textId="77777777" w:rsidR="00216BD5" w:rsidRPr="00477BD4" w:rsidRDefault="00216BD5" w:rsidP="006703BB">
            <w:pPr>
              <w:jc w:val="center"/>
              <w:rPr>
                <w:color w:val="000000"/>
              </w:rPr>
            </w:pPr>
            <w:r w:rsidRPr="00477BD4">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753B6F83" w14:textId="77777777" w:rsidR="00216BD5" w:rsidRPr="00477BD4" w:rsidRDefault="00216BD5" w:rsidP="006703BB">
            <w:pPr>
              <w:jc w:val="center"/>
              <w:rPr>
                <w:color w:val="000000"/>
              </w:rPr>
            </w:pPr>
            <w:r w:rsidRPr="00477BD4">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0431EECD"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0AA2EBD8" w14:textId="77777777" w:rsidR="00216BD5" w:rsidRPr="00477BD4" w:rsidRDefault="00216BD5" w:rsidP="006703BB">
            <w:pPr>
              <w:jc w:val="center"/>
              <w:rPr>
                <w:color w:val="000000"/>
              </w:rPr>
            </w:pPr>
            <w:r w:rsidRPr="00477BD4">
              <w:rPr>
                <w:color w:val="000000"/>
              </w:rPr>
              <w:t>-</w:t>
            </w:r>
          </w:p>
        </w:tc>
        <w:tc>
          <w:tcPr>
            <w:tcW w:w="838" w:type="dxa"/>
            <w:tcBorders>
              <w:top w:val="single" w:sz="8" w:space="0" w:color="auto"/>
              <w:left w:val="nil"/>
              <w:bottom w:val="single" w:sz="4" w:space="0" w:color="auto"/>
              <w:right w:val="single" w:sz="8" w:space="0" w:color="auto"/>
            </w:tcBorders>
            <w:shd w:val="clear" w:color="000000" w:fill="FBF9D9"/>
            <w:vAlign w:val="center"/>
          </w:tcPr>
          <w:p w14:paraId="273E67E1" w14:textId="77777777" w:rsidR="00216BD5" w:rsidRPr="00477BD4" w:rsidRDefault="00216BD5" w:rsidP="006703BB">
            <w:pPr>
              <w:jc w:val="center"/>
              <w:rPr>
                <w:color w:val="000000"/>
              </w:rPr>
            </w:pPr>
            <w:r w:rsidRPr="00477BD4">
              <w:rPr>
                <w:color w:val="000000"/>
              </w:rPr>
              <w:t>-</w:t>
            </w:r>
          </w:p>
        </w:tc>
        <w:tc>
          <w:tcPr>
            <w:tcW w:w="838" w:type="dxa"/>
            <w:tcBorders>
              <w:top w:val="single" w:sz="8" w:space="0" w:color="auto"/>
              <w:left w:val="nil"/>
              <w:bottom w:val="single" w:sz="4" w:space="0" w:color="auto"/>
              <w:right w:val="single" w:sz="8" w:space="0" w:color="auto"/>
            </w:tcBorders>
            <w:shd w:val="clear" w:color="000000" w:fill="FBF9D9"/>
            <w:vAlign w:val="center"/>
          </w:tcPr>
          <w:p w14:paraId="2023F53D" w14:textId="77777777" w:rsidR="00216BD5" w:rsidRPr="00477BD4" w:rsidRDefault="00216BD5" w:rsidP="006703BB">
            <w:pPr>
              <w:jc w:val="center"/>
              <w:rPr>
                <w:color w:val="000000"/>
              </w:rPr>
            </w:pPr>
            <w:r w:rsidRPr="00477BD4">
              <w:rPr>
                <w:color w:val="000000"/>
              </w:rPr>
              <w:t>-</w:t>
            </w:r>
          </w:p>
        </w:tc>
      </w:tr>
      <w:tr w:rsidR="00216BD5" w:rsidRPr="00477BD4" w14:paraId="47540726" w14:textId="77777777" w:rsidTr="006703BB">
        <w:trPr>
          <w:trHeight w:val="1020"/>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430697CB" w14:textId="77777777" w:rsidR="00216BD5" w:rsidRPr="00477BD4" w:rsidRDefault="00216BD5" w:rsidP="006703BB">
            <w:pPr>
              <w:jc w:val="right"/>
              <w:rPr>
                <w:color w:val="000000"/>
                <w:sz w:val="22"/>
                <w:szCs w:val="22"/>
              </w:rPr>
            </w:pPr>
            <w:r w:rsidRPr="00477BD4">
              <w:rPr>
                <w:color w:val="000000"/>
                <w:sz w:val="22"/>
                <w:szCs w:val="22"/>
              </w:rPr>
              <w:t>8.</w:t>
            </w:r>
          </w:p>
        </w:tc>
        <w:tc>
          <w:tcPr>
            <w:tcW w:w="907" w:type="dxa"/>
            <w:tcBorders>
              <w:top w:val="nil"/>
              <w:left w:val="nil"/>
              <w:bottom w:val="single" w:sz="8" w:space="0" w:color="auto"/>
              <w:right w:val="single" w:sz="8" w:space="0" w:color="auto"/>
            </w:tcBorders>
            <w:shd w:val="clear" w:color="000000" w:fill="FBF9D9"/>
            <w:vAlign w:val="center"/>
            <w:hideMark/>
          </w:tcPr>
          <w:p w14:paraId="6EFA169E" w14:textId="77777777" w:rsidR="00216BD5" w:rsidRPr="00477BD4" w:rsidRDefault="00216BD5" w:rsidP="006703BB">
            <w:pPr>
              <w:jc w:val="left"/>
              <w:rPr>
                <w:color w:val="000000"/>
              </w:rPr>
            </w:pPr>
            <w:r w:rsidRPr="00477BD4">
              <w:rPr>
                <w:color w:val="000000"/>
              </w:rPr>
              <w:t xml:space="preserve">§ 234 Obžaloba </w:t>
            </w:r>
          </w:p>
        </w:tc>
        <w:tc>
          <w:tcPr>
            <w:tcW w:w="976" w:type="dxa"/>
            <w:tcBorders>
              <w:top w:val="nil"/>
              <w:left w:val="nil"/>
              <w:bottom w:val="single" w:sz="8" w:space="0" w:color="auto"/>
              <w:right w:val="single" w:sz="8" w:space="0" w:color="auto"/>
            </w:tcBorders>
            <w:shd w:val="clear" w:color="000000" w:fill="FBF9D9"/>
            <w:vAlign w:val="center"/>
            <w:hideMark/>
          </w:tcPr>
          <w:p w14:paraId="0B429D5E" w14:textId="77777777" w:rsidR="00216BD5" w:rsidRPr="00477BD4" w:rsidRDefault="00216BD5" w:rsidP="006703BB">
            <w:pPr>
              <w:jc w:val="left"/>
              <w:rPr>
                <w:color w:val="000000"/>
              </w:rPr>
            </w:pPr>
            <w:r w:rsidRPr="00477BD4">
              <w:rPr>
                <w:color w:val="000000"/>
              </w:rPr>
              <w:t>§ 331 Dohoda o vine a treste</w:t>
            </w:r>
          </w:p>
        </w:tc>
        <w:tc>
          <w:tcPr>
            <w:tcW w:w="591" w:type="dxa"/>
            <w:tcBorders>
              <w:top w:val="nil"/>
              <w:left w:val="nil"/>
              <w:bottom w:val="single" w:sz="8" w:space="0" w:color="auto"/>
              <w:right w:val="single" w:sz="8" w:space="0" w:color="auto"/>
            </w:tcBorders>
            <w:shd w:val="clear" w:color="000000" w:fill="FBF9D9"/>
            <w:vAlign w:val="center"/>
            <w:hideMark/>
          </w:tcPr>
          <w:p w14:paraId="159BDD44" w14:textId="77777777" w:rsidR="00216BD5" w:rsidRPr="00477BD4" w:rsidRDefault="00216BD5" w:rsidP="006703BB">
            <w:pPr>
              <w:jc w:val="center"/>
              <w:rPr>
                <w:color w:val="000000"/>
              </w:rPr>
            </w:pPr>
            <w:r w:rsidRPr="00477BD4">
              <w:rPr>
                <w:color w:val="000000"/>
              </w:rPr>
              <w:t>-</w:t>
            </w:r>
          </w:p>
        </w:tc>
        <w:tc>
          <w:tcPr>
            <w:tcW w:w="579" w:type="dxa"/>
            <w:tcBorders>
              <w:top w:val="nil"/>
              <w:left w:val="nil"/>
              <w:bottom w:val="single" w:sz="8" w:space="0" w:color="auto"/>
              <w:right w:val="single" w:sz="8" w:space="0" w:color="auto"/>
            </w:tcBorders>
            <w:shd w:val="clear" w:color="000000" w:fill="FBF9D9"/>
            <w:vAlign w:val="center"/>
            <w:hideMark/>
          </w:tcPr>
          <w:p w14:paraId="1784436F" w14:textId="77777777" w:rsidR="00216BD5" w:rsidRPr="00477BD4" w:rsidRDefault="00216BD5" w:rsidP="006703BB">
            <w:pPr>
              <w:jc w:val="center"/>
              <w:rPr>
                <w:color w:val="000000"/>
              </w:rPr>
            </w:pPr>
            <w:r w:rsidRPr="00477BD4">
              <w:rPr>
                <w:color w:val="000000"/>
              </w:rPr>
              <w:t>-</w:t>
            </w:r>
          </w:p>
        </w:tc>
        <w:tc>
          <w:tcPr>
            <w:tcW w:w="1040" w:type="dxa"/>
            <w:tcBorders>
              <w:top w:val="nil"/>
              <w:left w:val="nil"/>
              <w:bottom w:val="single" w:sz="8" w:space="0" w:color="auto"/>
              <w:right w:val="single" w:sz="8" w:space="0" w:color="auto"/>
            </w:tcBorders>
            <w:shd w:val="clear" w:color="000000" w:fill="FBF9D9"/>
            <w:vAlign w:val="center"/>
            <w:hideMark/>
          </w:tcPr>
          <w:p w14:paraId="481BC8F9" w14:textId="77777777" w:rsidR="00216BD5" w:rsidRPr="00477BD4" w:rsidRDefault="00216BD5" w:rsidP="006703BB">
            <w:pPr>
              <w:jc w:val="center"/>
              <w:rPr>
                <w:color w:val="000000"/>
              </w:rPr>
            </w:pPr>
            <w:r w:rsidRPr="00477BD4">
              <w:rPr>
                <w:color w:val="000000"/>
              </w:rPr>
              <w:t>-</w:t>
            </w:r>
          </w:p>
        </w:tc>
        <w:tc>
          <w:tcPr>
            <w:tcW w:w="617" w:type="dxa"/>
            <w:tcBorders>
              <w:top w:val="nil"/>
              <w:left w:val="nil"/>
              <w:bottom w:val="single" w:sz="8" w:space="0" w:color="auto"/>
              <w:right w:val="single" w:sz="8" w:space="0" w:color="auto"/>
            </w:tcBorders>
            <w:shd w:val="clear" w:color="000000" w:fill="FBF9D9"/>
            <w:vAlign w:val="center"/>
            <w:hideMark/>
          </w:tcPr>
          <w:p w14:paraId="6CF9D584" w14:textId="77777777" w:rsidR="00216BD5" w:rsidRPr="00477BD4" w:rsidRDefault="00216BD5" w:rsidP="006703BB">
            <w:pPr>
              <w:jc w:val="center"/>
              <w:rPr>
                <w:color w:val="000000"/>
              </w:rPr>
            </w:pPr>
            <w:r w:rsidRPr="00477BD4">
              <w:rPr>
                <w:color w:val="000000"/>
              </w:rPr>
              <w:t>-</w:t>
            </w:r>
          </w:p>
        </w:tc>
        <w:tc>
          <w:tcPr>
            <w:tcW w:w="579" w:type="dxa"/>
            <w:tcBorders>
              <w:top w:val="nil"/>
              <w:left w:val="nil"/>
              <w:bottom w:val="single" w:sz="8" w:space="0" w:color="auto"/>
              <w:right w:val="single" w:sz="8" w:space="0" w:color="auto"/>
            </w:tcBorders>
            <w:shd w:val="clear" w:color="000000" w:fill="FBF9D9"/>
            <w:vAlign w:val="center"/>
            <w:hideMark/>
          </w:tcPr>
          <w:p w14:paraId="478119B8" w14:textId="77777777" w:rsidR="00216BD5" w:rsidRPr="00477BD4" w:rsidRDefault="00216BD5" w:rsidP="006703BB">
            <w:pPr>
              <w:jc w:val="center"/>
              <w:rPr>
                <w:color w:val="000000"/>
              </w:rPr>
            </w:pPr>
            <w:r w:rsidRPr="00477BD4">
              <w:rPr>
                <w:color w:val="000000"/>
              </w:rPr>
              <w:t>-</w:t>
            </w:r>
          </w:p>
        </w:tc>
        <w:tc>
          <w:tcPr>
            <w:tcW w:w="1048" w:type="dxa"/>
            <w:tcBorders>
              <w:top w:val="nil"/>
              <w:left w:val="nil"/>
              <w:bottom w:val="single" w:sz="8" w:space="0" w:color="auto"/>
              <w:right w:val="single" w:sz="8" w:space="0" w:color="auto"/>
            </w:tcBorders>
            <w:shd w:val="clear" w:color="000000" w:fill="FBF9D9"/>
            <w:vAlign w:val="center"/>
            <w:hideMark/>
          </w:tcPr>
          <w:p w14:paraId="3EC48FEB" w14:textId="77777777" w:rsidR="00216BD5" w:rsidRPr="00477BD4" w:rsidRDefault="00216BD5" w:rsidP="006703BB">
            <w:pPr>
              <w:jc w:val="center"/>
              <w:rPr>
                <w:color w:val="000000"/>
              </w:rPr>
            </w:pPr>
            <w:r w:rsidRPr="00477BD4">
              <w:rPr>
                <w:color w:val="000000"/>
              </w:rPr>
              <w:t>-</w:t>
            </w:r>
          </w:p>
        </w:tc>
        <w:tc>
          <w:tcPr>
            <w:tcW w:w="683" w:type="dxa"/>
            <w:tcBorders>
              <w:top w:val="nil"/>
              <w:left w:val="nil"/>
              <w:bottom w:val="single" w:sz="8" w:space="0" w:color="auto"/>
              <w:right w:val="single" w:sz="8" w:space="0" w:color="auto"/>
            </w:tcBorders>
            <w:shd w:val="clear" w:color="000000" w:fill="FBF9D9"/>
            <w:vAlign w:val="center"/>
            <w:hideMark/>
          </w:tcPr>
          <w:p w14:paraId="15D20FAD" w14:textId="77777777" w:rsidR="00216BD5" w:rsidRPr="00477BD4" w:rsidRDefault="00216BD5" w:rsidP="006703BB">
            <w:pPr>
              <w:jc w:val="center"/>
              <w:rPr>
                <w:color w:val="000000"/>
              </w:rPr>
            </w:pPr>
            <w:r w:rsidRPr="00477BD4">
              <w:rPr>
                <w:color w:val="000000"/>
              </w:rPr>
              <w:t>-</w:t>
            </w:r>
          </w:p>
        </w:tc>
        <w:tc>
          <w:tcPr>
            <w:tcW w:w="340" w:type="dxa"/>
            <w:tcBorders>
              <w:top w:val="nil"/>
              <w:left w:val="nil"/>
              <w:bottom w:val="single" w:sz="8" w:space="0" w:color="auto"/>
              <w:right w:val="single" w:sz="8" w:space="0" w:color="auto"/>
            </w:tcBorders>
            <w:shd w:val="clear" w:color="000000" w:fill="FBF9D9"/>
            <w:vAlign w:val="center"/>
            <w:hideMark/>
          </w:tcPr>
          <w:p w14:paraId="36B02981" w14:textId="77777777" w:rsidR="00216BD5" w:rsidRPr="00477BD4" w:rsidRDefault="00216BD5" w:rsidP="006703BB">
            <w:pPr>
              <w:jc w:val="center"/>
              <w:rPr>
                <w:b/>
                <w:bCs/>
                <w:color w:val="000000"/>
              </w:rPr>
            </w:pPr>
            <w:r w:rsidRPr="00477BD4">
              <w:rPr>
                <w:b/>
                <w:bCs/>
                <w:color w:val="000000"/>
              </w:rPr>
              <w:t>35</w:t>
            </w:r>
          </w:p>
        </w:tc>
        <w:tc>
          <w:tcPr>
            <w:tcW w:w="336" w:type="dxa"/>
            <w:tcBorders>
              <w:top w:val="nil"/>
              <w:left w:val="nil"/>
              <w:bottom w:val="single" w:sz="8" w:space="0" w:color="auto"/>
              <w:right w:val="single" w:sz="8" w:space="0" w:color="auto"/>
            </w:tcBorders>
            <w:shd w:val="clear" w:color="000000" w:fill="FBF9D9"/>
            <w:vAlign w:val="center"/>
            <w:hideMark/>
          </w:tcPr>
          <w:p w14:paraId="1F35028C" w14:textId="77777777" w:rsidR="00216BD5" w:rsidRPr="00477BD4" w:rsidRDefault="00216BD5" w:rsidP="006703BB">
            <w:pPr>
              <w:jc w:val="center"/>
              <w:rPr>
                <w:b/>
                <w:bCs/>
                <w:color w:val="000000"/>
              </w:rPr>
            </w:pPr>
            <w:r w:rsidRPr="00477BD4">
              <w:rPr>
                <w:b/>
                <w:bCs/>
                <w:color w:val="000000"/>
              </w:rPr>
              <w:t>8</w:t>
            </w:r>
          </w:p>
        </w:tc>
        <w:tc>
          <w:tcPr>
            <w:tcW w:w="711" w:type="dxa"/>
            <w:tcBorders>
              <w:top w:val="nil"/>
              <w:left w:val="nil"/>
              <w:bottom w:val="single" w:sz="8" w:space="0" w:color="auto"/>
              <w:right w:val="single" w:sz="8" w:space="0" w:color="auto"/>
            </w:tcBorders>
            <w:shd w:val="clear" w:color="000000" w:fill="FBF9D9"/>
            <w:vAlign w:val="center"/>
            <w:hideMark/>
          </w:tcPr>
          <w:p w14:paraId="4FAF6FAD" w14:textId="77777777" w:rsidR="00216BD5" w:rsidRPr="00477BD4" w:rsidRDefault="00216BD5" w:rsidP="006703BB">
            <w:pPr>
              <w:jc w:val="center"/>
              <w:rPr>
                <w:color w:val="000000"/>
              </w:rPr>
            </w:pPr>
            <w:r w:rsidRPr="00477BD4">
              <w:rPr>
                <w:color w:val="000000"/>
              </w:rPr>
              <w:t>-</w:t>
            </w:r>
          </w:p>
        </w:tc>
        <w:tc>
          <w:tcPr>
            <w:tcW w:w="340" w:type="dxa"/>
            <w:tcBorders>
              <w:top w:val="nil"/>
              <w:left w:val="nil"/>
              <w:bottom w:val="single" w:sz="8" w:space="0" w:color="auto"/>
              <w:right w:val="single" w:sz="8" w:space="0" w:color="auto"/>
            </w:tcBorders>
            <w:shd w:val="clear" w:color="000000" w:fill="FBF9D9"/>
            <w:vAlign w:val="center"/>
            <w:hideMark/>
          </w:tcPr>
          <w:p w14:paraId="185C303E" w14:textId="77777777" w:rsidR="00216BD5" w:rsidRPr="00477BD4" w:rsidRDefault="00216BD5" w:rsidP="006703BB">
            <w:pPr>
              <w:jc w:val="center"/>
              <w:rPr>
                <w:b/>
                <w:bCs/>
                <w:color w:val="000000"/>
              </w:rPr>
            </w:pPr>
            <w:r w:rsidRPr="00477BD4">
              <w:rPr>
                <w:b/>
                <w:bCs/>
                <w:color w:val="000000"/>
              </w:rPr>
              <w:t>36</w:t>
            </w:r>
          </w:p>
        </w:tc>
        <w:tc>
          <w:tcPr>
            <w:tcW w:w="274" w:type="dxa"/>
            <w:tcBorders>
              <w:top w:val="nil"/>
              <w:left w:val="nil"/>
              <w:bottom w:val="single" w:sz="8" w:space="0" w:color="auto"/>
              <w:right w:val="single" w:sz="8" w:space="0" w:color="auto"/>
            </w:tcBorders>
            <w:shd w:val="clear" w:color="000000" w:fill="FBF9D9"/>
            <w:vAlign w:val="center"/>
          </w:tcPr>
          <w:p w14:paraId="23B37FAF" w14:textId="77777777" w:rsidR="00216BD5" w:rsidRPr="00477BD4" w:rsidRDefault="00216BD5" w:rsidP="006703BB">
            <w:pPr>
              <w:jc w:val="center"/>
              <w:rPr>
                <w:b/>
                <w:bCs/>
                <w:color w:val="000000"/>
              </w:rPr>
            </w:pPr>
            <w:r w:rsidRPr="00477BD4">
              <w:rPr>
                <w:b/>
                <w:bCs/>
                <w:color w:val="000000"/>
              </w:rPr>
              <w:t>7</w:t>
            </w:r>
          </w:p>
        </w:tc>
        <w:tc>
          <w:tcPr>
            <w:tcW w:w="743" w:type="dxa"/>
            <w:tcBorders>
              <w:top w:val="nil"/>
              <w:left w:val="nil"/>
              <w:bottom w:val="single" w:sz="8" w:space="0" w:color="auto"/>
              <w:right w:val="single" w:sz="8" w:space="0" w:color="auto"/>
            </w:tcBorders>
            <w:shd w:val="clear" w:color="000000" w:fill="FBF9D9"/>
            <w:vAlign w:val="center"/>
            <w:hideMark/>
          </w:tcPr>
          <w:p w14:paraId="38362927" w14:textId="77777777" w:rsidR="00216BD5" w:rsidRPr="00477BD4" w:rsidRDefault="00216BD5" w:rsidP="006703BB">
            <w:pPr>
              <w:jc w:val="center"/>
              <w:rPr>
                <w:b/>
                <w:bCs/>
                <w:color w:val="000000"/>
              </w:rPr>
            </w:pPr>
            <w:r w:rsidRPr="00477BD4">
              <w:rPr>
                <w:b/>
                <w:bCs/>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10D58913" w14:textId="77777777" w:rsidR="00216BD5" w:rsidRPr="00477BD4" w:rsidRDefault="00216BD5" w:rsidP="006703BB">
            <w:pPr>
              <w:jc w:val="center"/>
              <w:rPr>
                <w:color w:val="000000"/>
              </w:rPr>
            </w:pPr>
            <w:r w:rsidRPr="00477BD4">
              <w:rPr>
                <w:color w:val="000000"/>
              </w:rPr>
              <w:t>-</w:t>
            </w:r>
          </w:p>
        </w:tc>
        <w:tc>
          <w:tcPr>
            <w:tcW w:w="690" w:type="dxa"/>
            <w:tcBorders>
              <w:top w:val="nil"/>
              <w:left w:val="nil"/>
              <w:bottom w:val="single" w:sz="8" w:space="0" w:color="auto"/>
              <w:right w:val="single" w:sz="8" w:space="0" w:color="auto"/>
            </w:tcBorders>
            <w:shd w:val="clear" w:color="000000" w:fill="FBF9D9"/>
            <w:vAlign w:val="center"/>
            <w:hideMark/>
          </w:tcPr>
          <w:p w14:paraId="6AF85173"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hideMark/>
          </w:tcPr>
          <w:p w14:paraId="5359A7C8" w14:textId="77777777" w:rsidR="00216BD5" w:rsidRPr="00477BD4" w:rsidRDefault="00216BD5" w:rsidP="006703BB">
            <w:pPr>
              <w:jc w:val="center"/>
              <w:rPr>
                <w:color w:val="000000"/>
              </w:rPr>
            </w:pPr>
            <w:r w:rsidRPr="00477BD4">
              <w:rPr>
                <w:color w:val="000000"/>
              </w:rPr>
              <w:t>-</w:t>
            </w:r>
          </w:p>
        </w:tc>
        <w:tc>
          <w:tcPr>
            <w:tcW w:w="838" w:type="dxa"/>
            <w:tcBorders>
              <w:top w:val="single" w:sz="4" w:space="0" w:color="auto"/>
              <w:left w:val="nil"/>
              <w:bottom w:val="single" w:sz="8" w:space="0" w:color="auto"/>
              <w:right w:val="single" w:sz="4" w:space="0" w:color="auto"/>
            </w:tcBorders>
            <w:shd w:val="clear" w:color="000000" w:fill="FBF9D9"/>
          </w:tcPr>
          <w:p w14:paraId="31867900" w14:textId="77777777" w:rsidR="00216BD5" w:rsidRPr="00477BD4" w:rsidRDefault="00216BD5" w:rsidP="006703BB">
            <w:pPr>
              <w:jc w:val="center"/>
              <w:rPr>
                <w:color w:val="000000"/>
              </w:rPr>
            </w:pPr>
          </w:p>
        </w:tc>
        <w:tc>
          <w:tcPr>
            <w:tcW w:w="838" w:type="dxa"/>
            <w:tcBorders>
              <w:top w:val="single" w:sz="4" w:space="0" w:color="auto"/>
              <w:left w:val="single" w:sz="4" w:space="0" w:color="auto"/>
              <w:bottom w:val="single" w:sz="8" w:space="0" w:color="auto"/>
              <w:right w:val="single" w:sz="4" w:space="0" w:color="auto"/>
            </w:tcBorders>
            <w:shd w:val="clear" w:color="000000" w:fill="FBF9D9"/>
          </w:tcPr>
          <w:p w14:paraId="0EDCCA92" w14:textId="77777777" w:rsidR="00216BD5" w:rsidRPr="00477BD4" w:rsidRDefault="00216BD5" w:rsidP="006703BB">
            <w:pPr>
              <w:jc w:val="center"/>
              <w:rPr>
                <w:color w:val="000000"/>
              </w:rPr>
            </w:pPr>
          </w:p>
        </w:tc>
      </w:tr>
      <w:tr w:rsidR="00216BD5" w:rsidRPr="00477BD4" w14:paraId="598BECD4" w14:textId="77777777" w:rsidTr="006703BB">
        <w:trPr>
          <w:trHeight w:val="502"/>
          <w:jc w:val="right"/>
        </w:trPr>
        <w:tc>
          <w:tcPr>
            <w:tcW w:w="366" w:type="dxa"/>
            <w:tcBorders>
              <w:top w:val="nil"/>
              <w:left w:val="single" w:sz="8" w:space="0" w:color="auto"/>
              <w:bottom w:val="single" w:sz="8" w:space="0" w:color="auto"/>
              <w:right w:val="single" w:sz="8" w:space="0" w:color="auto"/>
            </w:tcBorders>
            <w:shd w:val="clear" w:color="000000" w:fill="FBF9D9"/>
            <w:vAlign w:val="center"/>
            <w:hideMark/>
          </w:tcPr>
          <w:p w14:paraId="7DA31AE9" w14:textId="77777777" w:rsidR="00216BD5" w:rsidRPr="00477BD4" w:rsidRDefault="00216BD5" w:rsidP="006703BB">
            <w:pPr>
              <w:jc w:val="right"/>
              <w:rPr>
                <w:color w:val="000000"/>
                <w:sz w:val="22"/>
                <w:szCs w:val="22"/>
              </w:rPr>
            </w:pPr>
            <w:r w:rsidRPr="00477BD4">
              <w:rPr>
                <w:color w:val="000000"/>
                <w:sz w:val="22"/>
                <w:szCs w:val="22"/>
              </w:rPr>
              <w:t>9.</w:t>
            </w:r>
          </w:p>
        </w:tc>
        <w:tc>
          <w:tcPr>
            <w:tcW w:w="1883" w:type="dxa"/>
            <w:gridSpan w:val="2"/>
            <w:tcBorders>
              <w:top w:val="single" w:sz="8" w:space="0" w:color="auto"/>
              <w:left w:val="nil"/>
              <w:bottom w:val="single" w:sz="8" w:space="0" w:color="auto"/>
              <w:right w:val="single" w:sz="8" w:space="0" w:color="000000"/>
            </w:tcBorders>
            <w:shd w:val="clear" w:color="000000" w:fill="FBF9D9"/>
            <w:vAlign w:val="center"/>
            <w:hideMark/>
          </w:tcPr>
          <w:p w14:paraId="754C623D" w14:textId="77777777" w:rsidR="00216BD5" w:rsidRPr="00477BD4" w:rsidRDefault="00216BD5" w:rsidP="006703BB">
            <w:pPr>
              <w:jc w:val="left"/>
              <w:rPr>
                <w:color w:val="000000"/>
              </w:rPr>
            </w:pPr>
            <w:r w:rsidRPr="00477BD4">
              <w:rPr>
                <w:color w:val="000000"/>
              </w:rPr>
              <w:t>§ 284 Rozsudok (právoplatný)</w:t>
            </w:r>
          </w:p>
        </w:tc>
        <w:tc>
          <w:tcPr>
            <w:tcW w:w="591" w:type="dxa"/>
            <w:tcBorders>
              <w:top w:val="nil"/>
              <w:left w:val="nil"/>
              <w:bottom w:val="single" w:sz="8" w:space="0" w:color="auto"/>
              <w:right w:val="single" w:sz="8" w:space="0" w:color="auto"/>
            </w:tcBorders>
            <w:shd w:val="clear" w:color="000000" w:fill="FBF9D9"/>
            <w:vAlign w:val="center"/>
            <w:hideMark/>
          </w:tcPr>
          <w:p w14:paraId="0E61B945" w14:textId="77777777" w:rsidR="00216BD5" w:rsidRPr="00477BD4" w:rsidRDefault="00216BD5" w:rsidP="006703BB">
            <w:pPr>
              <w:jc w:val="center"/>
              <w:rPr>
                <w:color w:val="000000"/>
              </w:rPr>
            </w:pPr>
            <w:r w:rsidRPr="00477BD4">
              <w:rPr>
                <w:color w:val="000000"/>
              </w:rPr>
              <w:t>-</w:t>
            </w:r>
          </w:p>
        </w:tc>
        <w:tc>
          <w:tcPr>
            <w:tcW w:w="579" w:type="dxa"/>
            <w:tcBorders>
              <w:top w:val="nil"/>
              <w:left w:val="nil"/>
              <w:bottom w:val="single" w:sz="8" w:space="0" w:color="auto"/>
              <w:right w:val="single" w:sz="8" w:space="0" w:color="auto"/>
            </w:tcBorders>
            <w:shd w:val="clear" w:color="000000" w:fill="FBF9D9"/>
            <w:vAlign w:val="center"/>
            <w:hideMark/>
          </w:tcPr>
          <w:p w14:paraId="560D5053" w14:textId="77777777" w:rsidR="00216BD5" w:rsidRPr="00477BD4" w:rsidRDefault="00216BD5" w:rsidP="006703BB">
            <w:pPr>
              <w:jc w:val="center"/>
              <w:rPr>
                <w:color w:val="000000"/>
              </w:rPr>
            </w:pPr>
            <w:r w:rsidRPr="00477BD4">
              <w:rPr>
                <w:color w:val="000000"/>
              </w:rPr>
              <w:t>-</w:t>
            </w:r>
          </w:p>
        </w:tc>
        <w:tc>
          <w:tcPr>
            <w:tcW w:w="1040" w:type="dxa"/>
            <w:tcBorders>
              <w:top w:val="nil"/>
              <w:left w:val="nil"/>
              <w:bottom w:val="single" w:sz="8" w:space="0" w:color="auto"/>
              <w:right w:val="single" w:sz="8" w:space="0" w:color="auto"/>
            </w:tcBorders>
            <w:shd w:val="clear" w:color="000000" w:fill="FBF9D9"/>
            <w:vAlign w:val="center"/>
            <w:hideMark/>
          </w:tcPr>
          <w:p w14:paraId="57CF6C33" w14:textId="77777777" w:rsidR="00216BD5" w:rsidRPr="00477BD4" w:rsidRDefault="00216BD5" w:rsidP="006703BB">
            <w:pPr>
              <w:jc w:val="center"/>
              <w:rPr>
                <w:color w:val="000000"/>
              </w:rPr>
            </w:pPr>
            <w:r w:rsidRPr="00477BD4">
              <w:rPr>
                <w:color w:val="000000"/>
              </w:rPr>
              <w:t>-</w:t>
            </w:r>
          </w:p>
        </w:tc>
        <w:tc>
          <w:tcPr>
            <w:tcW w:w="617" w:type="dxa"/>
            <w:tcBorders>
              <w:top w:val="nil"/>
              <w:left w:val="nil"/>
              <w:bottom w:val="single" w:sz="8" w:space="0" w:color="auto"/>
              <w:right w:val="single" w:sz="8" w:space="0" w:color="auto"/>
            </w:tcBorders>
            <w:shd w:val="clear" w:color="000000" w:fill="FBF9D9"/>
            <w:vAlign w:val="center"/>
            <w:hideMark/>
          </w:tcPr>
          <w:p w14:paraId="4B76B785" w14:textId="77777777" w:rsidR="00216BD5" w:rsidRPr="00477BD4" w:rsidRDefault="00216BD5" w:rsidP="006703BB">
            <w:pPr>
              <w:jc w:val="center"/>
              <w:rPr>
                <w:color w:val="000000"/>
              </w:rPr>
            </w:pPr>
            <w:r w:rsidRPr="00477BD4">
              <w:rPr>
                <w:color w:val="000000"/>
              </w:rPr>
              <w:t>-</w:t>
            </w:r>
          </w:p>
        </w:tc>
        <w:tc>
          <w:tcPr>
            <w:tcW w:w="579" w:type="dxa"/>
            <w:tcBorders>
              <w:top w:val="nil"/>
              <w:left w:val="nil"/>
              <w:bottom w:val="single" w:sz="8" w:space="0" w:color="auto"/>
              <w:right w:val="single" w:sz="8" w:space="0" w:color="auto"/>
            </w:tcBorders>
            <w:shd w:val="clear" w:color="000000" w:fill="FBF9D9"/>
            <w:vAlign w:val="center"/>
            <w:hideMark/>
          </w:tcPr>
          <w:p w14:paraId="246B3EBD" w14:textId="77777777" w:rsidR="00216BD5" w:rsidRPr="00477BD4" w:rsidRDefault="00216BD5" w:rsidP="006703BB">
            <w:pPr>
              <w:jc w:val="center"/>
              <w:rPr>
                <w:color w:val="000000"/>
              </w:rPr>
            </w:pPr>
            <w:r w:rsidRPr="00477BD4">
              <w:rPr>
                <w:color w:val="000000"/>
              </w:rPr>
              <w:t>-</w:t>
            </w:r>
          </w:p>
        </w:tc>
        <w:tc>
          <w:tcPr>
            <w:tcW w:w="1048" w:type="dxa"/>
            <w:tcBorders>
              <w:top w:val="nil"/>
              <w:left w:val="nil"/>
              <w:bottom w:val="single" w:sz="8" w:space="0" w:color="auto"/>
              <w:right w:val="single" w:sz="8" w:space="0" w:color="auto"/>
            </w:tcBorders>
            <w:shd w:val="clear" w:color="000000" w:fill="FBF9D9"/>
            <w:vAlign w:val="center"/>
            <w:hideMark/>
          </w:tcPr>
          <w:p w14:paraId="41528ED5" w14:textId="77777777" w:rsidR="00216BD5" w:rsidRPr="00477BD4" w:rsidRDefault="00216BD5" w:rsidP="006703BB">
            <w:pPr>
              <w:jc w:val="center"/>
              <w:rPr>
                <w:color w:val="000000"/>
              </w:rPr>
            </w:pPr>
            <w:r w:rsidRPr="00477BD4">
              <w:rPr>
                <w:color w:val="000000"/>
              </w:rPr>
              <w:t>-</w:t>
            </w:r>
          </w:p>
        </w:tc>
        <w:tc>
          <w:tcPr>
            <w:tcW w:w="683" w:type="dxa"/>
            <w:tcBorders>
              <w:top w:val="nil"/>
              <w:left w:val="nil"/>
              <w:bottom w:val="single" w:sz="8" w:space="0" w:color="auto"/>
              <w:right w:val="single" w:sz="8" w:space="0" w:color="auto"/>
            </w:tcBorders>
            <w:shd w:val="clear" w:color="000000" w:fill="FBF9D9"/>
            <w:vAlign w:val="center"/>
            <w:hideMark/>
          </w:tcPr>
          <w:p w14:paraId="173E67BC" w14:textId="77777777" w:rsidR="00216BD5" w:rsidRPr="00477BD4" w:rsidRDefault="00216BD5" w:rsidP="006703BB">
            <w:pPr>
              <w:jc w:val="center"/>
              <w:rPr>
                <w:color w:val="000000"/>
              </w:rPr>
            </w:pPr>
            <w:r w:rsidRPr="00477BD4">
              <w:rPr>
                <w:color w:val="000000"/>
              </w:rPr>
              <w:t>-</w:t>
            </w:r>
          </w:p>
        </w:tc>
        <w:tc>
          <w:tcPr>
            <w:tcW w:w="676" w:type="dxa"/>
            <w:gridSpan w:val="2"/>
            <w:tcBorders>
              <w:top w:val="single" w:sz="8" w:space="0" w:color="auto"/>
              <w:left w:val="nil"/>
              <w:bottom w:val="single" w:sz="8" w:space="0" w:color="auto"/>
              <w:right w:val="single" w:sz="8" w:space="0" w:color="000000"/>
            </w:tcBorders>
            <w:shd w:val="clear" w:color="000000" w:fill="FBF9D9"/>
            <w:vAlign w:val="center"/>
            <w:hideMark/>
          </w:tcPr>
          <w:p w14:paraId="501E4F6B" w14:textId="77777777" w:rsidR="00216BD5" w:rsidRPr="00477BD4" w:rsidRDefault="00216BD5" w:rsidP="006703BB">
            <w:pPr>
              <w:jc w:val="center"/>
              <w:rPr>
                <w:color w:val="000000"/>
              </w:rPr>
            </w:pPr>
            <w:r w:rsidRPr="00477BD4">
              <w:rPr>
                <w:color w:val="000000"/>
              </w:rPr>
              <w:t>-</w:t>
            </w:r>
          </w:p>
        </w:tc>
        <w:tc>
          <w:tcPr>
            <w:tcW w:w="711" w:type="dxa"/>
            <w:tcBorders>
              <w:top w:val="nil"/>
              <w:left w:val="nil"/>
              <w:bottom w:val="single" w:sz="8" w:space="0" w:color="auto"/>
              <w:right w:val="single" w:sz="8" w:space="0" w:color="auto"/>
            </w:tcBorders>
            <w:shd w:val="clear" w:color="000000" w:fill="FBF9D9"/>
            <w:vAlign w:val="center"/>
            <w:hideMark/>
          </w:tcPr>
          <w:p w14:paraId="35D99796" w14:textId="77777777" w:rsidR="00216BD5" w:rsidRPr="00477BD4" w:rsidRDefault="00216BD5" w:rsidP="006703BB">
            <w:pPr>
              <w:jc w:val="center"/>
              <w:rPr>
                <w:color w:val="000000"/>
              </w:rPr>
            </w:pPr>
            <w:r w:rsidRPr="00477BD4">
              <w:rPr>
                <w:color w:val="000000"/>
              </w:rPr>
              <w:t>-</w:t>
            </w:r>
          </w:p>
        </w:tc>
        <w:tc>
          <w:tcPr>
            <w:tcW w:w="614" w:type="dxa"/>
            <w:gridSpan w:val="2"/>
            <w:tcBorders>
              <w:top w:val="single" w:sz="8" w:space="0" w:color="auto"/>
              <w:left w:val="nil"/>
              <w:bottom w:val="single" w:sz="8" w:space="0" w:color="auto"/>
              <w:right w:val="single" w:sz="8" w:space="0" w:color="000000"/>
            </w:tcBorders>
            <w:shd w:val="clear" w:color="000000" w:fill="FBF9D9"/>
            <w:vAlign w:val="center"/>
            <w:hideMark/>
          </w:tcPr>
          <w:p w14:paraId="7799158E" w14:textId="77777777" w:rsidR="00216BD5" w:rsidRPr="00477BD4" w:rsidRDefault="00216BD5" w:rsidP="006703BB">
            <w:pPr>
              <w:jc w:val="center"/>
              <w:rPr>
                <w:b/>
                <w:bCs/>
              </w:rPr>
            </w:pPr>
            <w:r w:rsidRPr="00477BD4">
              <w:rPr>
                <w:b/>
                <w:bCs/>
              </w:rPr>
              <w:t>-</w:t>
            </w:r>
          </w:p>
        </w:tc>
        <w:tc>
          <w:tcPr>
            <w:tcW w:w="743" w:type="dxa"/>
            <w:tcBorders>
              <w:top w:val="nil"/>
              <w:left w:val="nil"/>
              <w:bottom w:val="single" w:sz="8" w:space="0" w:color="auto"/>
              <w:right w:val="single" w:sz="8" w:space="0" w:color="auto"/>
            </w:tcBorders>
            <w:shd w:val="clear" w:color="000000" w:fill="FBF9D9"/>
            <w:vAlign w:val="center"/>
            <w:hideMark/>
          </w:tcPr>
          <w:p w14:paraId="46DCCE0A" w14:textId="77777777" w:rsidR="00216BD5" w:rsidRPr="00477BD4" w:rsidRDefault="00216BD5" w:rsidP="006703BB">
            <w:pPr>
              <w:jc w:val="center"/>
              <w:rPr>
                <w:color w:val="000000"/>
              </w:rPr>
            </w:pPr>
            <w:r w:rsidRPr="00477BD4">
              <w:rPr>
                <w:color w:val="000000"/>
              </w:rPr>
              <w:t>-</w:t>
            </w:r>
          </w:p>
        </w:tc>
        <w:tc>
          <w:tcPr>
            <w:tcW w:w="665" w:type="dxa"/>
            <w:tcBorders>
              <w:top w:val="nil"/>
              <w:left w:val="nil"/>
              <w:bottom w:val="single" w:sz="8" w:space="0" w:color="auto"/>
              <w:right w:val="single" w:sz="8" w:space="0" w:color="auto"/>
            </w:tcBorders>
            <w:shd w:val="clear" w:color="000000" w:fill="FBF9D9"/>
            <w:vAlign w:val="center"/>
            <w:hideMark/>
          </w:tcPr>
          <w:p w14:paraId="1FD92D3A" w14:textId="77777777" w:rsidR="00216BD5" w:rsidRPr="00477BD4" w:rsidRDefault="00216BD5" w:rsidP="006703BB">
            <w:pPr>
              <w:jc w:val="center"/>
              <w:rPr>
                <w:b/>
                <w:bCs/>
                <w:color w:val="000000"/>
              </w:rPr>
            </w:pPr>
            <w:r w:rsidRPr="00477BD4">
              <w:rPr>
                <w:b/>
                <w:bCs/>
                <w:color w:val="000000"/>
              </w:rPr>
              <w:t>12</w:t>
            </w:r>
          </w:p>
        </w:tc>
        <w:tc>
          <w:tcPr>
            <w:tcW w:w="690" w:type="dxa"/>
            <w:tcBorders>
              <w:top w:val="nil"/>
              <w:left w:val="nil"/>
              <w:bottom w:val="single" w:sz="8" w:space="0" w:color="auto"/>
              <w:right w:val="single" w:sz="8" w:space="0" w:color="auto"/>
            </w:tcBorders>
            <w:shd w:val="clear" w:color="000000" w:fill="FBF9D9"/>
            <w:vAlign w:val="center"/>
            <w:hideMark/>
          </w:tcPr>
          <w:p w14:paraId="69A8CA82" w14:textId="77777777" w:rsidR="00216BD5" w:rsidRPr="00477BD4" w:rsidRDefault="00216BD5" w:rsidP="006703BB">
            <w:pPr>
              <w:jc w:val="center"/>
              <w:rPr>
                <w:b/>
                <w:bCs/>
                <w:color w:val="000000"/>
              </w:rPr>
            </w:pPr>
            <w:r w:rsidRPr="00477BD4">
              <w:rPr>
                <w:b/>
                <w:bCs/>
                <w:color w:val="000000"/>
              </w:rPr>
              <w:t>41.895</w:t>
            </w:r>
          </w:p>
        </w:tc>
        <w:tc>
          <w:tcPr>
            <w:tcW w:w="838" w:type="dxa"/>
            <w:tcBorders>
              <w:top w:val="nil"/>
              <w:left w:val="nil"/>
              <w:bottom w:val="single" w:sz="8" w:space="0" w:color="auto"/>
              <w:right w:val="single" w:sz="8" w:space="0" w:color="auto"/>
            </w:tcBorders>
            <w:shd w:val="clear" w:color="000000" w:fill="FBF9D9"/>
            <w:vAlign w:val="center"/>
            <w:hideMark/>
          </w:tcPr>
          <w:p w14:paraId="0B6DBF29" w14:textId="77777777" w:rsidR="00216BD5" w:rsidRPr="00477BD4" w:rsidRDefault="00216BD5" w:rsidP="006703BB">
            <w:pPr>
              <w:jc w:val="center"/>
              <w:rPr>
                <w:color w:val="000000"/>
              </w:rPr>
            </w:pPr>
            <w:r w:rsidRPr="00477BD4">
              <w:rPr>
                <w:color w:val="000000"/>
              </w:rPr>
              <w:t>-</w:t>
            </w:r>
          </w:p>
        </w:tc>
        <w:tc>
          <w:tcPr>
            <w:tcW w:w="838" w:type="dxa"/>
            <w:tcBorders>
              <w:top w:val="nil"/>
              <w:left w:val="nil"/>
              <w:bottom w:val="single" w:sz="8" w:space="0" w:color="auto"/>
              <w:right w:val="single" w:sz="8" w:space="0" w:color="auto"/>
            </w:tcBorders>
            <w:shd w:val="clear" w:color="000000" w:fill="FBF9D9"/>
            <w:vAlign w:val="center"/>
          </w:tcPr>
          <w:p w14:paraId="0C4B4AE2" w14:textId="77777777" w:rsidR="00216BD5" w:rsidRPr="00477BD4" w:rsidRDefault="00216BD5" w:rsidP="006703BB">
            <w:pPr>
              <w:jc w:val="center"/>
              <w:rPr>
                <w:b/>
                <w:bCs/>
              </w:rPr>
            </w:pPr>
            <w:r w:rsidRPr="00477BD4">
              <w:rPr>
                <w:b/>
                <w:bCs/>
              </w:rPr>
              <w:t>23</w:t>
            </w:r>
          </w:p>
        </w:tc>
        <w:tc>
          <w:tcPr>
            <w:tcW w:w="838" w:type="dxa"/>
            <w:tcBorders>
              <w:top w:val="nil"/>
              <w:left w:val="nil"/>
              <w:bottom w:val="single" w:sz="8" w:space="0" w:color="auto"/>
              <w:right w:val="single" w:sz="8" w:space="0" w:color="auto"/>
            </w:tcBorders>
            <w:shd w:val="clear" w:color="000000" w:fill="FBF9D9"/>
            <w:vAlign w:val="center"/>
          </w:tcPr>
          <w:p w14:paraId="3F84826A" w14:textId="77777777" w:rsidR="00216BD5" w:rsidRPr="00477BD4" w:rsidRDefault="00216BD5" w:rsidP="006703BB">
            <w:pPr>
              <w:jc w:val="center"/>
              <w:rPr>
                <w:b/>
                <w:bCs/>
                <w:color w:val="000000"/>
              </w:rPr>
            </w:pPr>
            <w:r w:rsidRPr="00477BD4">
              <w:rPr>
                <w:b/>
                <w:bCs/>
                <w:color w:val="000000"/>
              </w:rPr>
              <w:t>1.429</w:t>
            </w:r>
          </w:p>
        </w:tc>
      </w:tr>
    </w:tbl>
    <w:p w14:paraId="6809766D" w14:textId="77777777" w:rsidR="00216BD5" w:rsidRPr="00477BD4" w:rsidRDefault="00216BD5" w:rsidP="00216BD5">
      <w:pPr>
        <w:spacing w:after="160"/>
        <w:rPr>
          <w:rFonts w:eastAsiaTheme="minorHAnsi" w:cstheme="minorBidi"/>
          <w:lang w:eastAsia="en-US"/>
        </w:rPr>
        <w:sectPr w:rsidR="00216BD5" w:rsidRPr="00477BD4" w:rsidSect="00477BD4">
          <w:footerReference w:type="default" r:id="rId18"/>
          <w:pgSz w:w="16838" w:h="11906" w:orient="landscape"/>
          <w:pgMar w:top="1417" w:right="1417" w:bottom="1417" w:left="1135" w:header="708" w:footer="708" w:gutter="0"/>
          <w:cols w:space="708"/>
          <w:docGrid w:linePitch="360"/>
        </w:sectPr>
      </w:pPr>
    </w:p>
    <w:p w14:paraId="4E1125A3" w14:textId="77777777" w:rsidR="00216BD5" w:rsidRPr="003E078F" w:rsidRDefault="00216BD5" w:rsidP="00216BD5">
      <w:pPr>
        <w:pStyle w:val="Nzovkapitoly"/>
        <w:rPr>
          <w:rFonts w:eastAsiaTheme="minorHAnsi"/>
        </w:rPr>
      </w:pPr>
      <w:bookmarkStart w:id="9" w:name="_Toc412466389"/>
      <w:r w:rsidRPr="003E078F">
        <w:rPr>
          <w:rFonts w:eastAsiaTheme="minorHAnsi"/>
        </w:rPr>
        <w:lastRenderedPageBreak/>
        <w:t>3.</w:t>
      </w:r>
      <w:r>
        <w:rPr>
          <w:rFonts w:eastAsiaTheme="minorHAnsi"/>
        </w:rPr>
        <w:t xml:space="preserve"> </w:t>
      </w:r>
      <w:r w:rsidRPr="003E078F">
        <w:rPr>
          <w:rFonts w:eastAsiaTheme="minorHAnsi"/>
        </w:rPr>
        <w:t>Kontrolná činnosť</w:t>
      </w:r>
      <w:bookmarkEnd w:id="9"/>
    </w:p>
    <w:p w14:paraId="02DDC997" w14:textId="77777777" w:rsidR="00216BD5" w:rsidRPr="00F02CDA" w:rsidRDefault="00216BD5" w:rsidP="00216BD5">
      <w:pPr>
        <w:spacing w:after="120"/>
        <w:rPr>
          <w:rFonts w:eastAsiaTheme="minorHAnsi" w:cstheme="minorBidi"/>
          <w:sz w:val="24"/>
          <w:szCs w:val="24"/>
          <w:highlight w:val="yellow"/>
          <w:lang w:eastAsia="en-US"/>
        </w:rPr>
      </w:pPr>
    </w:p>
    <w:p w14:paraId="118B6480" w14:textId="77777777" w:rsidR="00216BD5" w:rsidRPr="00F02CDA" w:rsidRDefault="00216BD5" w:rsidP="00216BD5">
      <w:pPr>
        <w:spacing w:after="120"/>
        <w:rPr>
          <w:rFonts w:eastAsiaTheme="minorHAnsi" w:cstheme="minorBidi"/>
          <w:sz w:val="24"/>
          <w:szCs w:val="24"/>
          <w:lang w:eastAsia="en-US"/>
        </w:rPr>
      </w:pPr>
      <w:r w:rsidRPr="00F02CDA">
        <w:rPr>
          <w:rFonts w:eastAsiaTheme="minorHAnsi" w:cstheme="minorBidi"/>
          <w:sz w:val="24"/>
          <w:szCs w:val="24"/>
          <w:lang w:eastAsia="en-US"/>
        </w:rPr>
        <w:tab/>
        <w:t>Kompetentným pracoviskom FSJ, povereným na zabezpečenie kontroly plnenia a dodržiavania povinností</w:t>
      </w:r>
      <w:r>
        <w:rPr>
          <w:rFonts w:eastAsiaTheme="minorHAnsi" w:cstheme="minorBidi"/>
          <w:sz w:val="24"/>
          <w:szCs w:val="24"/>
          <w:lang w:eastAsia="en-US"/>
        </w:rPr>
        <w:t xml:space="preserve"> </w:t>
      </w:r>
      <w:r w:rsidRPr="00F02CDA">
        <w:rPr>
          <w:rFonts w:eastAsiaTheme="minorHAnsi" w:cstheme="minorBidi"/>
          <w:sz w:val="24"/>
          <w:szCs w:val="24"/>
          <w:lang w:eastAsia="en-US"/>
        </w:rPr>
        <w:t>povinných osôb v zmysle zákona o ochrane pred legalizáciou je</w:t>
      </w:r>
      <w:r>
        <w:rPr>
          <w:rFonts w:eastAsiaTheme="minorHAnsi" w:cstheme="minorBidi"/>
          <w:sz w:val="24"/>
          <w:szCs w:val="24"/>
          <w:lang w:eastAsia="en-US"/>
        </w:rPr>
        <w:t> </w:t>
      </w:r>
      <w:r w:rsidRPr="00F02CDA">
        <w:rPr>
          <w:rFonts w:eastAsiaTheme="minorHAnsi" w:cstheme="minorBidi"/>
          <w:sz w:val="24"/>
          <w:szCs w:val="24"/>
          <w:lang w:eastAsia="en-US"/>
        </w:rPr>
        <w:t>oddelenie kontroly povinných osôb.</w:t>
      </w:r>
      <w:r>
        <w:rPr>
          <w:rFonts w:eastAsiaTheme="minorHAnsi" w:cstheme="minorBidi"/>
          <w:sz w:val="24"/>
          <w:szCs w:val="24"/>
          <w:lang w:eastAsia="en-US"/>
        </w:rPr>
        <w:t xml:space="preserve"> </w:t>
      </w:r>
      <w:r w:rsidRPr="00F02CDA">
        <w:rPr>
          <w:rFonts w:eastAsiaTheme="minorHAnsi" w:cstheme="minorBidi"/>
          <w:sz w:val="24"/>
          <w:szCs w:val="24"/>
          <w:lang w:eastAsia="en-US"/>
        </w:rPr>
        <w:t>Okrem</w:t>
      </w:r>
      <w:r>
        <w:rPr>
          <w:rFonts w:eastAsiaTheme="minorHAnsi" w:cstheme="minorBidi"/>
          <w:sz w:val="24"/>
          <w:szCs w:val="24"/>
          <w:lang w:eastAsia="en-US"/>
        </w:rPr>
        <w:t xml:space="preserve"> </w:t>
      </w:r>
      <w:r w:rsidRPr="00F02CDA">
        <w:rPr>
          <w:rFonts w:eastAsiaTheme="minorHAnsi" w:cstheme="minorBidi"/>
          <w:sz w:val="24"/>
          <w:szCs w:val="24"/>
          <w:lang w:eastAsia="en-US"/>
        </w:rPr>
        <w:t>svojej kontrolnej činnosti oddelenie plní aj</w:t>
      </w:r>
      <w:r>
        <w:rPr>
          <w:rFonts w:eastAsiaTheme="minorHAnsi" w:cstheme="minorBidi"/>
          <w:sz w:val="24"/>
          <w:szCs w:val="24"/>
          <w:lang w:eastAsia="en-US"/>
        </w:rPr>
        <w:t> </w:t>
      </w:r>
      <w:r w:rsidRPr="00F02CDA">
        <w:rPr>
          <w:rFonts w:eastAsiaTheme="minorHAnsi" w:cstheme="minorBidi"/>
          <w:sz w:val="24"/>
          <w:szCs w:val="24"/>
          <w:lang w:eastAsia="en-US"/>
        </w:rPr>
        <w:t>ďalšie úlohy, ktorých rozsah je uvedený v ustanoveniach § 32 a 33 zákona o legalizácii, kedy má postavenie správneho orgánu. Ako správny orgán podľa zákona č. 71/1967 Zb. o správnom konaní v znení neskorších predpisov</w:t>
      </w:r>
      <w:r>
        <w:rPr>
          <w:rFonts w:eastAsiaTheme="minorHAnsi" w:cstheme="minorBidi"/>
          <w:sz w:val="24"/>
          <w:szCs w:val="24"/>
          <w:lang w:eastAsia="en-US"/>
        </w:rPr>
        <w:t xml:space="preserve"> </w:t>
      </w:r>
      <w:r w:rsidRPr="00F02CDA">
        <w:rPr>
          <w:rFonts w:eastAsiaTheme="minorHAnsi" w:cstheme="minorBidi"/>
          <w:sz w:val="24"/>
          <w:szCs w:val="24"/>
          <w:lang w:eastAsia="en-US"/>
        </w:rPr>
        <w:t>prejednáva</w:t>
      </w:r>
      <w:r>
        <w:rPr>
          <w:rFonts w:eastAsiaTheme="minorHAnsi" w:cstheme="minorBidi"/>
          <w:sz w:val="24"/>
          <w:szCs w:val="24"/>
          <w:lang w:eastAsia="en-US"/>
        </w:rPr>
        <w:t xml:space="preserve"> </w:t>
      </w:r>
      <w:r w:rsidRPr="00F02CDA">
        <w:rPr>
          <w:rFonts w:eastAsiaTheme="minorHAnsi" w:cstheme="minorBidi"/>
          <w:sz w:val="24"/>
          <w:szCs w:val="24"/>
          <w:lang w:eastAsia="en-US"/>
        </w:rPr>
        <w:t>správne delikty a podľa zákona Slovenskej národnej rady č. 372/1990 Zb. o priestupkoch v znení neskorších predpisov prejednáva priestupky.</w:t>
      </w:r>
    </w:p>
    <w:p w14:paraId="2B9B3049" w14:textId="77777777" w:rsidR="00216BD5" w:rsidRPr="00F02CDA" w:rsidRDefault="00216BD5" w:rsidP="00216BD5">
      <w:pPr>
        <w:spacing w:after="120"/>
        <w:rPr>
          <w:rFonts w:eastAsiaTheme="minorHAnsi" w:cstheme="minorBidi"/>
          <w:sz w:val="24"/>
          <w:szCs w:val="24"/>
          <w:lang w:eastAsia="en-US"/>
        </w:rPr>
      </w:pPr>
      <w:r w:rsidRPr="00F02CDA">
        <w:rPr>
          <w:rFonts w:eastAsiaTheme="minorHAnsi" w:cstheme="minorBidi"/>
          <w:sz w:val="24"/>
          <w:szCs w:val="24"/>
          <w:lang w:eastAsia="en-US"/>
        </w:rPr>
        <w:tab/>
        <w:t xml:space="preserve">Kontrolná činnosť je realizovaná predovšetkým na základe plánu kontrolnej činnosti vytvoreného na konkrétny kalendárny rok. </w:t>
      </w:r>
      <w:r>
        <w:rPr>
          <w:rFonts w:eastAsiaTheme="minorHAnsi" w:cstheme="minorBidi"/>
          <w:sz w:val="24"/>
          <w:szCs w:val="24"/>
          <w:lang w:eastAsia="en-US"/>
        </w:rPr>
        <w:t>Do plánu kontrol</w:t>
      </w:r>
      <w:r w:rsidRPr="00F02CDA">
        <w:rPr>
          <w:rFonts w:eastAsiaTheme="minorHAnsi" w:cstheme="minorBidi"/>
          <w:sz w:val="24"/>
          <w:szCs w:val="24"/>
          <w:lang w:eastAsia="en-US"/>
        </w:rPr>
        <w:t xml:space="preserve"> sú</w:t>
      </w:r>
      <w:r>
        <w:rPr>
          <w:rFonts w:eastAsiaTheme="minorHAnsi" w:cstheme="minorBidi"/>
          <w:sz w:val="24"/>
          <w:szCs w:val="24"/>
          <w:lang w:eastAsia="en-US"/>
        </w:rPr>
        <w:t xml:space="preserve"> jednotlivé kategórie povinných osôb navrhnuté</w:t>
      </w:r>
      <w:r w:rsidRPr="00F02CDA">
        <w:rPr>
          <w:rFonts w:eastAsiaTheme="minorHAnsi" w:cstheme="minorBidi"/>
          <w:sz w:val="24"/>
          <w:szCs w:val="24"/>
          <w:lang w:eastAsia="en-US"/>
        </w:rPr>
        <w:t xml:space="preserve"> na základe získaných poznatkov a informácií z predchádzajúcich kontrol povinných osôb, na základe podnetov a informácií od ostatných zložiek </w:t>
      </w:r>
      <w:r>
        <w:rPr>
          <w:rFonts w:eastAsiaTheme="minorHAnsi" w:cstheme="minorBidi"/>
          <w:sz w:val="24"/>
          <w:szCs w:val="24"/>
          <w:lang w:eastAsia="en-US"/>
        </w:rPr>
        <w:t>PZ</w:t>
      </w:r>
      <w:r w:rsidRPr="00F02CDA">
        <w:rPr>
          <w:rFonts w:eastAsiaTheme="minorHAnsi" w:cstheme="minorBidi"/>
          <w:sz w:val="24"/>
          <w:szCs w:val="24"/>
          <w:lang w:eastAsia="en-US"/>
        </w:rPr>
        <w:t>, či</w:t>
      </w:r>
      <w:r>
        <w:rPr>
          <w:rFonts w:eastAsiaTheme="minorHAnsi" w:cstheme="minorBidi"/>
          <w:sz w:val="24"/>
          <w:szCs w:val="24"/>
          <w:lang w:eastAsia="en-US"/>
        </w:rPr>
        <w:t> </w:t>
      </w:r>
      <w:r w:rsidRPr="00F02CDA">
        <w:rPr>
          <w:rFonts w:eastAsiaTheme="minorHAnsi" w:cstheme="minorBidi"/>
          <w:sz w:val="24"/>
          <w:szCs w:val="24"/>
          <w:lang w:eastAsia="en-US"/>
        </w:rPr>
        <w:t>poznatkov o rôznych pochybeniach a neplnení si niektorých zákonných povinností, získaných pri spracovaní hlásení o </w:t>
      </w:r>
      <w:r>
        <w:rPr>
          <w:rFonts w:eastAsiaTheme="minorHAnsi" w:cstheme="minorBidi"/>
          <w:sz w:val="24"/>
          <w:szCs w:val="24"/>
          <w:lang w:eastAsia="en-US"/>
        </w:rPr>
        <w:t>NOO</w:t>
      </w:r>
      <w:r w:rsidRPr="00F02CDA">
        <w:rPr>
          <w:rFonts w:eastAsiaTheme="minorHAnsi" w:cstheme="minorBidi"/>
          <w:sz w:val="24"/>
          <w:szCs w:val="24"/>
          <w:lang w:eastAsia="en-US"/>
        </w:rPr>
        <w:t xml:space="preserve">. </w:t>
      </w:r>
    </w:p>
    <w:p w14:paraId="7B982A52" w14:textId="77777777" w:rsidR="00216BD5" w:rsidRPr="00F02CDA" w:rsidRDefault="00216BD5" w:rsidP="00216BD5">
      <w:pPr>
        <w:spacing w:after="120"/>
        <w:rPr>
          <w:rFonts w:eastAsiaTheme="minorHAnsi" w:cstheme="minorBidi"/>
          <w:sz w:val="24"/>
          <w:szCs w:val="24"/>
          <w:lang w:eastAsia="en-US"/>
        </w:rPr>
      </w:pPr>
      <w:r w:rsidRPr="00F02CDA">
        <w:rPr>
          <w:rFonts w:eastAsiaTheme="minorHAnsi" w:cstheme="minorBidi"/>
          <w:sz w:val="24"/>
          <w:szCs w:val="24"/>
          <w:lang w:eastAsia="en-US"/>
        </w:rPr>
        <w:tab/>
        <w:t>V roku 2014 bola kontrolná činnosť povinných osôb zameraná zo strany FSJ prevažne na povinné osoby z finančného a nefinančného sektora. V posudzovanom období oddelenie kontroly povinných osôb vykonalo celkovo 22 kontrol s výsledkom uvedeným v tabuľke č.</w:t>
      </w:r>
      <w:r>
        <w:rPr>
          <w:rFonts w:eastAsiaTheme="minorHAnsi" w:cstheme="minorBidi"/>
          <w:sz w:val="24"/>
          <w:szCs w:val="24"/>
          <w:lang w:eastAsia="en-US"/>
        </w:rPr>
        <w:t xml:space="preserve"> 9</w:t>
      </w:r>
      <w:r w:rsidRPr="00F02CDA">
        <w:rPr>
          <w:rFonts w:eastAsiaTheme="minorHAnsi" w:cstheme="minorBidi"/>
          <w:sz w:val="24"/>
          <w:szCs w:val="24"/>
          <w:lang w:eastAsia="en-US"/>
        </w:rPr>
        <w:t>. Z týchto 22 začatých kontrol bolo</w:t>
      </w:r>
      <w:r>
        <w:rPr>
          <w:rFonts w:eastAsiaTheme="minorHAnsi" w:cstheme="minorBidi"/>
          <w:sz w:val="24"/>
          <w:szCs w:val="24"/>
          <w:lang w:eastAsia="en-US"/>
        </w:rPr>
        <w:t xml:space="preserve"> </w:t>
      </w:r>
      <w:r w:rsidRPr="00F02CDA">
        <w:rPr>
          <w:rFonts w:eastAsiaTheme="minorHAnsi" w:cstheme="minorBidi"/>
          <w:sz w:val="24"/>
          <w:szCs w:val="24"/>
          <w:lang w:eastAsia="en-US"/>
        </w:rPr>
        <w:t>právoplatne ukončených 13, ostatných 10 kontrol (vrátane 1 kontroly z roku 2013), ktoré neboli ukončené a kde v 6 prípadoch už bolo vydané rozhodnutie, bolo</w:t>
      </w:r>
      <w:r>
        <w:rPr>
          <w:rFonts w:eastAsiaTheme="minorHAnsi" w:cstheme="minorBidi"/>
          <w:sz w:val="24"/>
          <w:szCs w:val="24"/>
          <w:lang w:eastAsia="en-US"/>
        </w:rPr>
        <w:t xml:space="preserve"> </w:t>
      </w:r>
      <w:r w:rsidRPr="00F02CDA">
        <w:rPr>
          <w:rFonts w:eastAsiaTheme="minorHAnsi" w:cstheme="minorBidi"/>
          <w:sz w:val="24"/>
          <w:szCs w:val="24"/>
          <w:lang w:eastAsia="en-US"/>
        </w:rPr>
        <w:t>prenesených do roku 2015. V roku 2014 bolo vydaných celkovo 13 rozhodnutí o uložení sankcie – pokuty v súhrnnej výške 14.400,- EUR (výšky pokút od 300,- EUR do 5.000,- EUR), 4 kontroly boli ukončené bez udelenia sankcie, v jednom prípade po</w:t>
      </w:r>
      <w:r>
        <w:rPr>
          <w:rFonts w:eastAsiaTheme="minorHAnsi" w:cstheme="minorBidi"/>
          <w:sz w:val="24"/>
          <w:szCs w:val="24"/>
          <w:lang w:eastAsia="en-US"/>
        </w:rPr>
        <w:t> </w:t>
      </w:r>
      <w:r w:rsidRPr="00F02CDA">
        <w:rPr>
          <w:rFonts w:eastAsiaTheme="minorHAnsi" w:cstheme="minorBidi"/>
          <w:sz w:val="24"/>
          <w:szCs w:val="24"/>
          <w:lang w:eastAsia="en-US"/>
        </w:rPr>
        <w:t>preverení nakladania s majetkom združenia majetku (neziskovej organizácie), bola kontrola z dôvodu podozrenia z nehospodárneho nakladania s majetkom uko</w:t>
      </w:r>
      <w:r>
        <w:rPr>
          <w:rFonts w:eastAsiaTheme="minorHAnsi" w:cstheme="minorBidi"/>
          <w:sz w:val="24"/>
          <w:szCs w:val="24"/>
          <w:lang w:eastAsia="en-US"/>
        </w:rPr>
        <w:t>nčená odstúpením dokumentov na OČTK a v</w:t>
      </w:r>
      <w:r w:rsidRPr="00F02CDA">
        <w:rPr>
          <w:rFonts w:eastAsiaTheme="minorHAnsi" w:cstheme="minorBidi"/>
          <w:sz w:val="24"/>
          <w:szCs w:val="24"/>
          <w:lang w:eastAsia="en-US"/>
        </w:rPr>
        <w:t> 4 ostatných prípadoch kontrola pokračuje aj v roku 2015.</w:t>
      </w:r>
      <w:r>
        <w:rPr>
          <w:rFonts w:eastAsiaTheme="minorHAnsi" w:cstheme="minorBidi"/>
          <w:sz w:val="24"/>
          <w:szCs w:val="24"/>
          <w:lang w:eastAsia="en-US"/>
        </w:rPr>
        <w:t xml:space="preserve"> </w:t>
      </w:r>
      <w:r w:rsidRPr="00F02CDA">
        <w:rPr>
          <w:rFonts w:eastAsiaTheme="minorHAnsi" w:cstheme="minorBidi"/>
          <w:sz w:val="24"/>
          <w:szCs w:val="24"/>
          <w:lang w:eastAsia="en-US"/>
        </w:rPr>
        <w:t>Z 13 rozhodnutí o uložení pokuty bolo v 2 prípadoch toto rozhodnutie napadnuté</w:t>
      </w:r>
      <w:r>
        <w:rPr>
          <w:rFonts w:eastAsiaTheme="minorHAnsi" w:cstheme="minorBidi"/>
          <w:sz w:val="24"/>
          <w:szCs w:val="24"/>
          <w:lang w:eastAsia="en-US"/>
        </w:rPr>
        <w:t xml:space="preserve"> </w:t>
      </w:r>
      <w:r w:rsidRPr="00F02CDA">
        <w:rPr>
          <w:rFonts w:eastAsiaTheme="minorHAnsi" w:cstheme="minorBidi"/>
          <w:sz w:val="24"/>
          <w:szCs w:val="24"/>
          <w:lang w:eastAsia="en-US"/>
        </w:rPr>
        <w:t>podaním rozkladu, o ktorom nebolo do konca roka 2014 odvolacím orgánom rozhodnuté. Spolu s vydaním rozhodnutia</w:t>
      </w:r>
      <w:r>
        <w:rPr>
          <w:rFonts w:eastAsiaTheme="minorHAnsi" w:cstheme="minorBidi"/>
          <w:sz w:val="24"/>
          <w:szCs w:val="24"/>
          <w:lang w:eastAsia="en-US"/>
        </w:rPr>
        <w:t xml:space="preserve"> </w:t>
      </w:r>
      <w:r w:rsidRPr="00F02CDA">
        <w:rPr>
          <w:rFonts w:eastAsiaTheme="minorHAnsi" w:cstheme="minorBidi"/>
          <w:sz w:val="24"/>
          <w:szCs w:val="24"/>
          <w:lang w:eastAsia="en-US"/>
        </w:rPr>
        <w:t>o uložení pokuty bol v dvoch prípadoch</w:t>
      </w:r>
      <w:r>
        <w:rPr>
          <w:rFonts w:eastAsiaTheme="minorHAnsi" w:cstheme="minorBidi"/>
          <w:sz w:val="24"/>
          <w:szCs w:val="24"/>
          <w:lang w:eastAsia="en-US"/>
        </w:rPr>
        <w:t xml:space="preserve"> </w:t>
      </w:r>
      <w:r w:rsidRPr="00F02CDA">
        <w:rPr>
          <w:rFonts w:eastAsiaTheme="minorHAnsi" w:cstheme="minorBidi"/>
          <w:sz w:val="24"/>
          <w:szCs w:val="24"/>
          <w:lang w:eastAsia="en-US"/>
        </w:rPr>
        <w:t xml:space="preserve">(v každom z nich bola zhodne udelená pokuta vo výške 3.000,- EUR) aj zaslaný podnet na odbor živnostenského podnikania na odobratie oprávnenia povinnej osoby na podnikateľskú činnosť podľa § 34 zákona o ochrane pred legalizáciou. </w:t>
      </w:r>
    </w:p>
    <w:p w14:paraId="179C88C6" w14:textId="77777777" w:rsidR="00216BD5" w:rsidRDefault="00216BD5" w:rsidP="00216BD5">
      <w:pPr>
        <w:spacing w:after="120"/>
        <w:rPr>
          <w:rFonts w:eastAsiaTheme="minorHAnsi" w:cstheme="minorBidi"/>
          <w:sz w:val="24"/>
          <w:szCs w:val="24"/>
          <w:lang w:eastAsia="en-US"/>
        </w:rPr>
      </w:pPr>
      <w:r w:rsidRPr="00F02CDA">
        <w:rPr>
          <w:rFonts w:eastAsiaTheme="minorHAnsi" w:cstheme="minorBidi"/>
          <w:sz w:val="24"/>
          <w:szCs w:val="24"/>
          <w:lang w:eastAsia="en-US"/>
        </w:rPr>
        <w:tab/>
        <w:t>V roku 2014 bola na základe rozhodnutí FSJ</w:t>
      </w:r>
      <w:r>
        <w:rPr>
          <w:rFonts w:eastAsiaTheme="minorHAnsi" w:cstheme="minorBidi"/>
          <w:sz w:val="24"/>
          <w:szCs w:val="24"/>
          <w:lang w:eastAsia="en-US"/>
        </w:rPr>
        <w:t xml:space="preserve"> </w:t>
      </w:r>
      <w:r w:rsidRPr="00F02CDA">
        <w:rPr>
          <w:rFonts w:eastAsiaTheme="minorHAnsi" w:cstheme="minorBidi"/>
          <w:sz w:val="24"/>
          <w:szCs w:val="24"/>
          <w:lang w:eastAsia="en-US"/>
        </w:rPr>
        <w:t>o uložení pokuty za správne delikty, ktoré boli vydané v roku 2014, ako aj</w:t>
      </w:r>
      <w:r>
        <w:rPr>
          <w:rFonts w:eastAsiaTheme="minorHAnsi" w:cstheme="minorBidi"/>
          <w:sz w:val="24"/>
          <w:szCs w:val="24"/>
          <w:lang w:eastAsia="en-US"/>
        </w:rPr>
        <w:t xml:space="preserve"> </w:t>
      </w:r>
      <w:r w:rsidRPr="00F02CDA">
        <w:rPr>
          <w:rFonts w:eastAsiaTheme="minorHAnsi" w:cstheme="minorBidi"/>
          <w:sz w:val="24"/>
          <w:szCs w:val="24"/>
          <w:lang w:eastAsia="en-US"/>
        </w:rPr>
        <w:t>v predchádzajúcom období, povinnými osobami zaplatená pokuta celkovo v 10</w:t>
      </w:r>
      <w:r>
        <w:rPr>
          <w:rFonts w:eastAsiaTheme="minorHAnsi" w:cstheme="minorBidi"/>
          <w:sz w:val="24"/>
          <w:szCs w:val="24"/>
          <w:lang w:eastAsia="en-US"/>
        </w:rPr>
        <w:t xml:space="preserve"> </w:t>
      </w:r>
      <w:r w:rsidRPr="00F02CDA">
        <w:rPr>
          <w:rFonts w:eastAsiaTheme="minorHAnsi" w:cstheme="minorBidi"/>
          <w:sz w:val="24"/>
          <w:szCs w:val="24"/>
          <w:lang w:eastAsia="en-US"/>
        </w:rPr>
        <w:t>prípadoch,</w:t>
      </w:r>
      <w:r>
        <w:rPr>
          <w:rFonts w:eastAsiaTheme="minorHAnsi" w:cstheme="minorBidi"/>
          <w:sz w:val="24"/>
          <w:szCs w:val="24"/>
          <w:lang w:eastAsia="en-US"/>
        </w:rPr>
        <w:t xml:space="preserve"> </w:t>
      </w:r>
      <w:r w:rsidRPr="00F02CDA">
        <w:rPr>
          <w:rFonts w:eastAsiaTheme="minorHAnsi" w:cstheme="minorBidi"/>
          <w:sz w:val="24"/>
          <w:szCs w:val="24"/>
          <w:lang w:eastAsia="en-US"/>
        </w:rPr>
        <w:t>v súhrnnej výške 14.800,- EU</w:t>
      </w:r>
      <w:r>
        <w:rPr>
          <w:rFonts w:eastAsiaTheme="minorHAnsi" w:cstheme="minorBidi"/>
          <w:sz w:val="24"/>
          <w:szCs w:val="24"/>
          <w:lang w:eastAsia="en-US"/>
        </w:rPr>
        <w:t>R. Z uvedenej sumy bolo 6.500</w:t>
      </w:r>
      <w:r w:rsidRPr="00F02CDA">
        <w:rPr>
          <w:rFonts w:eastAsiaTheme="minorHAnsi" w:cstheme="minorBidi"/>
          <w:sz w:val="24"/>
          <w:szCs w:val="24"/>
          <w:lang w:eastAsia="en-US"/>
        </w:rPr>
        <w:t xml:space="preserve"> EUR zaplatených na základe rozhodnutí o uložen</w:t>
      </w:r>
      <w:r>
        <w:rPr>
          <w:rFonts w:eastAsiaTheme="minorHAnsi" w:cstheme="minorBidi"/>
          <w:sz w:val="24"/>
          <w:szCs w:val="24"/>
          <w:lang w:eastAsia="en-US"/>
        </w:rPr>
        <w:t>í pokuty vydaných v roku 2014.</w:t>
      </w:r>
    </w:p>
    <w:p w14:paraId="6B37C681" w14:textId="77777777" w:rsidR="00216BD5" w:rsidRPr="003E078F" w:rsidRDefault="00216BD5" w:rsidP="00216BD5">
      <w:pPr>
        <w:spacing w:after="120"/>
        <w:rPr>
          <w:rFonts w:eastAsiaTheme="minorHAnsi" w:cstheme="minorBidi"/>
          <w:sz w:val="24"/>
          <w:szCs w:val="24"/>
          <w:lang w:eastAsia="en-US"/>
        </w:rPr>
      </w:pPr>
    </w:p>
    <w:p w14:paraId="55C73401" w14:textId="77777777" w:rsidR="00216BD5" w:rsidRPr="00F02CDA" w:rsidRDefault="00216BD5" w:rsidP="00216BD5">
      <w:pPr>
        <w:spacing w:after="120"/>
        <w:rPr>
          <w:rFonts w:eastAsiaTheme="minorHAnsi" w:cstheme="minorBidi"/>
          <w:lang w:eastAsia="en-US"/>
        </w:rPr>
      </w:pPr>
      <w:r w:rsidRPr="00F02CDA">
        <w:rPr>
          <w:rFonts w:eastAsiaTheme="minorHAnsi" w:cstheme="minorBidi"/>
          <w:lang w:eastAsia="en-US"/>
        </w:rPr>
        <w:t>Tabuľka č.</w:t>
      </w:r>
      <w:r>
        <w:rPr>
          <w:rFonts w:eastAsiaTheme="minorHAnsi" w:cstheme="minorBidi"/>
          <w:lang w:eastAsia="en-US"/>
        </w:rPr>
        <w:t xml:space="preserve"> 9: </w:t>
      </w:r>
      <w:r w:rsidRPr="00F02CDA">
        <w:rPr>
          <w:rFonts w:eastAsiaTheme="minorHAnsi" w:cstheme="minorBidi"/>
          <w:lang w:eastAsia="en-US"/>
        </w:rPr>
        <w:t>Štatistické údaje o spôsobe ukončenia kontrol za rok 2014</w:t>
      </w:r>
    </w:p>
    <w:tbl>
      <w:tblPr>
        <w:tblStyle w:val="Mriekatabuky1"/>
        <w:tblW w:w="0" w:type="auto"/>
        <w:tblLook w:val="04A0" w:firstRow="1" w:lastRow="0" w:firstColumn="1" w:lastColumn="0" w:noHBand="0" w:noVBand="1"/>
      </w:tblPr>
      <w:tblGrid>
        <w:gridCol w:w="796"/>
        <w:gridCol w:w="902"/>
        <w:gridCol w:w="918"/>
        <w:gridCol w:w="944"/>
        <w:gridCol w:w="1463"/>
        <w:gridCol w:w="926"/>
        <w:gridCol w:w="1041"/>
        <w:gridCol w:w="976"/>
        <w:gridCol w:w="1096"/>
      </w:tblGrid>
      <w:tr w:rsidR="00216BD5" w:rsidRPr="00F02CDA" w14:paraId="332C2742" w14:textId="77777777" w:rsidTr="006703BB">
        <w:tc>
          <w:tcPr>
            <w:tcW w:w="796" w:type="dxa"/>
            <w:vMerge w:val="restart"/>
            <w:shd w:val="clear" w:color="auto" w:fill="E2EFD9" w:themeFill="accent6" w:themeFillTint="33"/>
            <w:vAlign w:val="center"/>
          </w:tcPr>
          <w:p w14:paraId="5622EED7" w14:textId="77777777" w:rsidR="00216BD5" w:rsidRPr="00F02CDA" w:rsidRDefault="00216BD5" w:rsidP="006703BB">
            <w:pPr>
              <w:spacing w:after="120"/>
              <w:jc w:val="center"/>
              <w:rPr>
                <w:rFonts w:eastAsiaTheme="minorHAnsi" w:cstheme="minorBidi"/>
                <w:sz w:val="22"/>
                <w:szCs w:val="22"/>
                <w:lang w:eastAsia="en-US"/>
              </w:rPr>
            </w:pPr>
            <w:r w:rsidRPr="00F02CDA">
              <w:rPr>
                <w:rFonts w:eastAsiaTheme="minorHAnsi" w:cstheme="minorBidi"/>
                <w:sz w:val="22"/>
                <w:szCs w:val="22"/>
                <w:lang w:eastAsia="en-US"/>
              </w:rPr>
              <w:t xml:space="preserve">Rok </w:t>
            </w:r>
          </w:p>
        </w:tc>
        <w:tc>
          <w:tcPr>
            <w:tcW w:w="902" w:type="dxa"/>
            <w:vMerge w:val="restart"/>
            <w:shd w:val="clear" w:color="auto" w:fill="E2EFD9" w:themeFill="accent6" w:themeFillTint="33"/>
            <w:vAlign w:val="center"/>
          </w:tcPr>
          <w:p w14:paraId="15319E33" w14:textId="77777777" w:rsidR="00216BD5" w:rsidRPr="00F02CDA" w:rsidRDefault="00216BD5" w:rsidP="006703BB">
            <w:pPr>
              <w:spacing w:after="120"/>
              <w:rPr>
                <w:rFonts w:eastAsiaTheme="minorHAnsi" w:cstheme="minorBidi"/>
                <w:sz w:val="22"/>
                <w:szCs w:val="22"/>
                <w:lang w:eastAsia="en-US"/>
              </w:rPr>
            </w:pPr>
            <w:r w:rsidRPr="00F02CDA">
              <w:rPr>
                <w:rFonts w:eastAsiaTheme="minorHAnsi" w:cstheme="minorBidi"/>
                <w:sz w:val="22"/>
                <w:szCs w:val="22"/>
                <w:lang w:eastAsia="en-US"/>
              </w:rPr>
              <w:t xml:space="preserve">Počet kontrol </w:t>
            </w:r>
          </w:p>
        </w:tc>
        <w:tc>
          <w:tcPr>
            <w:tcW w:w="3325" w:type="dxa"/>
            <w:gridSpan w:val="3"/>
            <w:shd w:val="clear" w:color="auto" w:fill="E2EFD9" w:themeFill="accent6" w:themeFillTint="33"/>
            <w:vAlign w:val="center"/>
          </w:tcPr>
          <w:p w14:paraId="2B8EDA2D" w14:textId="77777777" w:rsidR="00216BD5" w:rsidRPr="00F02CDA" w:rsidRDefault="00216BD5" w:rsidP="006703BB">
            <w:pPr>
              <w:spacing w:after="120"/>
              <w:jc w:val="center"/>
              <w:rPr>
                <w:rFonts w:eastAsiaTheme="minorHAnsi" w:cstheme="minorBidi"/>
                <w:sz w:val="22"/>
                <w:szCs w:val="22"/>
                <w:lang w:eastAsia="en-US"/>
              </w:rPr>
            </w:pPr>
            <w:r w:rsidRPr="00F02CDA">
              <w:rPr>
                <w:rFonts w:eastAsiaTheme="minorHAnsi" w:cstheme="minorBidi"/>
                <w:sz w:val="22"/>
                <w:szCs w:val="22"/>
                <w:lang w:eastAsia="en-US"/>
              </w:rPr>
              <w:t xml:space="preserve">Spôsob ukončenia kontrol </w:t>
            </w:r>
          </w:p>
        </w:tc>
        <w:tc>
          <w:tcPr>
            <w:tcW w:w="926" w:type="dxa"/>
            <w:vMerge w:val="restart"/>
            <w:shd w:val="clear" w:color="auto" w:fill="E2EFD9" w:themeFill="accent6" w:themeFillTint="33"/>
            <w:vAlign w:val="center"/>
          </w:tcPr>
          <w:p w14:paraId="2254CD69" w14:textId="77777777" w:rsidR="00216BD5" w:rsidRPr="00F02CDA" w:rsidRDefault="00216BD5" w:rsidP="006703BB">
            <w:pPr>
              <w:spacing w:after="120"/>
              <w:rPr>
                <w:rFonts w:eastAsiaTheme="minorHAnsi" w:cstheme="minorBidi"/>
                <w:sz w:val="22"/>
                <w:szCs w:val="22"/>
                <w:lang w:eastAsia="en-US"/>
              </w:rPr>
            </w:pPr>
            <w:r w:rsidRPr="00F02CDA">
              <w:rPr>
                <w:rFonts w:eastAsiaTheme="minorHAnsi" w:cstheme="minorBidi"/>
                <w:sz w:val="22"/>
                <w:szCs w:val="22"/>
                <w:lang w:eastAsia="en-US"/>
              </w:rPr>
              <w:t>Výška sankcií v EUR</w:t>
            </w:r>
          </w:p>
        </w:tc>
        <w:tc>
          <w:tcPr>
            <w:tcW w:w="2017" w:type="dxa"/>
            <w:gridSpan w:val="2"/>
            <w:shd w:val="clear" w:color="auto" w:fill="E2EFD9" w:themeFill="accent6" w:themeFillTint="33"/>
            <w:vAlign w:val="center"/>
          </w:tcPr>
          <w:p w14:paraId="2A58FF8D" w14:textId="77777777" w:rsidR="00216BD5" w:rsidRPr="00F02CDA" w:rsidRDefault="00216BD5" w:rsidP="006703BB">
            <w:pPr>
              <w:spacing w:after="120"/>
              <w:jc w:val="center"/>
              <w:rPr>
                <w:rFonts w:eastAsiaTheme="minorHAnsi" w:cstheme="minorBidi"/>
                <w:sz w:val="22"/>
                <w:szCs w:val="22"/>
                <w:lang w:eastAsia="en-US"/>
              </w:rPr>
            </w:pPr>
            <w:r w:rsidRPr="00F02CDA">
              <w:rPr>
                <w:rFonts w:eastAsiaTheme="minorHAnsi" w:cstheme="minorBidi"/>
                <w:sz w:val="22"/>
                <w:szCs w:val="22"/>
                <w:lang w:eastAsia="en-US"/>
              </w:rPr>
              <w:t>Zaplatené v EUR</w:t>
            </w:r>
          </w:p>
        </w:tc>
        <w:tc>
          <w:tcPr>
            <w:tcW w:w="1096" w:type="dxa"/>
            <w:vMerge w:val="restart"/>
            <w:shd w:val="clear" w:color="auto" w:fill="E2EFD9" w:themeFill="accent6" w:themeFillTint="33"/>
            <w:vAlign w:val="center"/>
          </w:tcPr>
          <w:p w14:paraId="335085DC" w14:textId="77777777" w:rsidR="00216BD5" w:rsidRPr="00F02CDA" w:rsidRDefault="00216BD5" w:rsidP="006703BB">
            <w:pPr>
              <w:spacing w:after="120"/>
              <w:rPr>
                <w:rFonts w:eastAsiaTheme="minorHAnsi" w:cstheme="minorBidi"/>
                <w:sz w:val="22"/>
                <w:szCs w:val="22"/>
                <w:lang w:eastAsia="en-US"/>
              </w:rPr>
            </w:pPr>
            <w:r w:rsidRPr="00F02CDA">
              <w:rPr>
                <w:rFonts w:eastAsiaTheme="minorHAnsi" w:cstheme="minorBidi"/>
                <w:sz w:val="22"/>
                <w:szCs w:val="22"/>
                <w:lang w:eastAsia="en-US"/>
              </w:rPr>
              <w:t xml:space="preserve">Počet podaných rozkladov </w:t>
            </w:r>
          </w:p>
        </w:tc>
      </w:tr>
      <w:tr w:rsidR="00216BD5" w:rsidRPr="00F02CDA" w14:paraId="778D822F" w14:textId="77777777" w:rsidTr="006703BB">
        <w:tc>
          <w:tcPr>
            <w:tcW w:w="796" w:type="dxa"/>
            <w:vMerge/>
            <w:shd w:val="clear" w:color="auto" w:fill="E2EFD9" w:themeFill="accent6" w:themeFillTint="33"/>
            <w:vAlign w:val="center"/>
          </w:tcPr>
          <w:p w14:paraId="3FEADCC1" w14:textId="77777777" w:rsidR="00216BD5" w:rsidRPr="00F02CDA" w:rsidRDefault="00216BD5" w:rsidP="006703BB">
            <w:pPr>
              <w:spacing w:after="120"/>
              <w:rPr>
                <w:rFonts w:eastAsiaTheme="minorHAnsi" w:cstheme="minorBidi"/>
                <w:sz w:val="24"/>
                <w:szCs w:val="24"/>
                <w:lang w:eastAsia="en-US"/>
              </w:rPr>
            </w:pPr>
          </w:p>
        </w:tc>
        <w:tc>
          <w:tcPr>
            <w:tcW w:w="902" w:type="dxa"/>
            <w:vMerge/>
            <w:shd w:val="clear" w:color="auto" w:fill="E2EFD9" w:themeFill="accent6" w:themeFillTint="33"/>
            <w:vAlign w:val="center"/>
          </w:tcPr>
          <w:p w14:paraId="3023A06C" w14:textId="77777777" w:rsidR="00216BD5" w:rsidRPr="00F02CDA" w:rsidRDefault="00216BD5" w:rsidP="006703BB">
            <w:pPr>
              <w:spacing w:after="120"/>
              <w:rPr>
                <w:rFonts w:eastAsiaTheme="minorHAnsi" w:cstheme="minorBidi"/>
                <w:sz w:val="22"/>
                <w:szCs w:val="22"/>
                <w:lang w:eastAsia="en-US"/>
              </w:rPr>
            </w:pPr>
          </w:p>
        </w:tc>
        <w:tc>
          <w:tcPr>
            <w:tcW w:w="918" w:type="dxa"/>
            <w:shd w:val="clear" w:color="auto" w:fill="E2EFD9" w:themeFill="accent6" w:themeFillTint="33"/>
            <w:vAlign w:val="center"/>
          </w:tcPr>
          <w:p w14:paraId="61CE0D93" w14:textId="77777777" w:rsidR="00216BD5" w:rsidRPr="00F02CDA" w:rsidRDefault="00216BD5" w:rsidP="006703BB">
            <w:pPr>
              <w:spacing w:after="120"/>
              <w:rPr>
                <w:rFonts w:eastAsiaTheme="minorHAnsi" w:cstheme="minorBidi"/>
                <w:sz w:val="22"/>
                <w:szCs w:val="22"/>
                <w:lang w:eastAsia="en-US"/>
              </w:rPr>
            </w:pPr>
            <w:r w:rsidRPr="00F02CDA">
              <w:rPr>
                <w:rFonts w:eastAsiaTheme="minorHAnsi" w:cstheme="minorBidi"/>
                <w:sz w:val="22"/>
                <w:szCs w:val="22"/>
                <w:lang w:eastAsia="en-US"/>
              </w:rPr>
              <w:t>Bez sankcie</w:t>
            </w:r>
          </w:p>
        </w:tc>
        <w:tc>
          <w:tcPr>
            <w:tcW w:w="944" w:type="dxa"/>
            <w:shd w:val="clear" w:color="auto" w:fill="E2EFD9" w:themeFill="accent6" w:themeFillTint="33"/>
            <w:vAlign w:val="center"/>
          </w:tcPr>
          <w:p w14:paraId="38EB9F0A" w14:textId="77777777" w:rsidR="00216BD5" w:rsidRPr="00F02CDA" w:rsidRDefault="00216BD5" w:rsidP="006703BB">
            <w:pPr>
              <w:spacing w:after="120"/>
              <w:rPr>
                <w:rFonts w:eastAsiaTheme="minorHAnsi" w:cstheme="minorBidi"/>
                <w:sz w:val="22"/>
                <w:szCs w:val="22"/>
                <w:lang w:eastAsia="en-US"/>
              </w:rPr>
            </w:pPr>
            <w:r w:rsidRPr="00F02CDA">
              <w:rPr>
                <w:rFonts w:eastAsiaTheme="minorHAnsi" w:cstheme="minorBidi"/>
                <w:sz w:val="22"/>
                <w:szCs w:val="22"/>
                <w:lang w:eastAsia="en-US"/>
              </w:rPr>
              <w:t>Sankcia</w:t>
            </w:r>
          </w:p>
        </w:tc>
        <w:tc>
          <w:tcPr>
            <w:tcW w:w="1463" w:type="dxa"/>
            <w:shd w:val="clear" w:color="auto" w:fill="E2EFD9" w:themeFill="accent6" w:themeFillTint="33"/>
            <w:vAlign w:val="center"/>
          </w:tcPr>
          <w:p w14:paraId="424105EB" w14:textId="77777777" w:rsidR="00216BD5" w:rsidRPr="00F02CDA" w:rsidRDefault="00216BD5" w:rsidP="006703BB">
            <w:pPr>
              <w:spacing w:after="120"/>
              <w:rPr>
                <w:rFonts w:eastAsiaTheme="minorHAnsi" w:cstheme="minorBidi"/>
                <w:sz w:val="22"/>
                <w:szCs w:val="22"/>
                <w:lang w:eastAsia="en-US"/>
              </w:rPr>
            </w:pPr>
            <w:r w:rsidRPr="00F02CDA">
              <w:rPr>
                <w:rFonts w:eastAsiaTheme="minorHAnsi" w:cstheme="minorBidi"/>
                <w:sz w:val="22"/>
                <w:szCs w:val="22"/>
                <w:lang w:eastAsia="en-US"/>
              </w:rPr>
              <w:t>Nerozhodnuté a odstúpené</w:t>
            </w:r>
          </w:p>
        </w:tc>
        <w:tc>
          <w:tcPr>
            <w:tcW w:w="926" w:type="dxa"/>
            <w:vMerge/>
            <w:shd w:val="clear" w:color="auto" w:fill="E2EFD9" w:themeFill="accent6" w:themeFillTint="33"/>
            <w:vAlign w:val="center"/>
          </w:tcPr>
          <w:p w14:paraId="538CE68E" w14:textId="77777777" w:rsidR="00216BD5" w:rsidRPr="00F02CDA" w:rsidRDefault="00216BD5" w:rsidP="006703BB">
            <w:pPr>
              <w:spacing w:after="120"/>
              <w:rPr>
                <w:rFonts w:eastAsiaTheme="minorHAnsi" w:cstheme="minorBidi"/>
                <w:sz w:val="22"/>
                <w:szCs w:val="22"/>
                <w:lang w:eastAsia="en-US"/>
              </w:rPr>
            </w:pPr>
          </w:p>
        </w:tc>
        <w:tc>
          <w:tcPr>
            <w:tcW w:w="1041" w:type="dxa"/>
            <w:shd w:val="clear" w:color="auto" w:fill="E2EFD9" w:themeFill="accent6" w:themeFillTint="33"/>
            <w:vAlign w:val="center"/>
          </w:tcPr>
          <w:p w14:paraId="5F75BBC9" w14:textId="77777777" w:rsidR="00216BD5" w:rsidRPr="00F02CDA" w:rsidRDefault="00216BD5" w:rsidP="006703BB">
            <w:pPr>
              <w:spacing w:after="120"/>
              <w:rPr>
                <w:rFonts w:eastAsiaTheme="minorHAnsi" w:cstheme="minorBidi"/>
                <w:sz w:val="22"/>
                <w:szCs w:val="22"/>
                <w:lang w:eastAsia="en-US"/>
              </w:rPr>
            </w:pPr>
            <w:r w:rsidRPr="00F02CDA">
              <w:rPr>
                <w:rFonts w:eastAsiaTheme="minorHAnsi" w:cstheme="minorBidi"/>
                <w:sz w:val="22"/>
                <w:szCs w:val="22"/>
                <w:lang w:eastAsia="en-US"/>
              </w:rPr>
              <w:t>Uložené v r. 2014</w:t>
            </w:r>
          </w:p>
        </w:tc>
        <w:tc>
          <w:tcPr>
            <w:tcW w:w="976" w:type="dxa"/>
            <w:shd w:val="clear" w:color="auto" w:fill="E2EFD9" w:themeFill="accent6" w:themeFillTint="33"/>
            <w:vAlign w:val="center"/>
          </w:tcPr>
          <w:p w14:paraId="42B204EE" w14:textId="77777777" w:rsidR="00216BD5" w:rsidRPr="00F02CDA" w:rsidRDefault="00216BD5" w:rsidP="006703BB">
            <w:pPr>
              <w:spacing w:after="120"/>
              <w:rPr>
                <w:rFonts w:eastAsiaTheme="minorHAnsi" w:cstheme="minorBidi"/>
                <w:sz w:val="22"/>
                <w:szCs w:val="22"/>
                <w:lang w:eastAsia="en-US"/>
              </w:rPr>
            </w:pPr>
            <w:r w:rsidRPr="00F02CDA">
              <w:rPr>
                <w:rFonts w:eastAsiaTheme="minorHAnsi" w:cstheme="minorBidi"/>
                <w:sz w:val="22"/>
                <w:szCs w:val="22"/>
                <w:lang w:eastAsia="en-US"/>
              </w:rPr>
              <w:t>Celkovo</w:t>
            </w:r>
          </w:p>
        </w:tc>
        <w:tc>
          <w:tcPr>
            <w:tcW w:w="1096" w:type="dxa"/>
            <w:vMerge/>
            <w:shd w:val="clear" w:color="auto" w:fill="E2EFD9" w:themeFill="accent6" w:themeFillTint="33"/>
            <w:vAlign w:val="center"/>
          </w:tcPr>
          <w:p w14:paraId="4274026A" w14:textId="77777777" w:rsidR="00216BD5" w:rsidRPr="00F02CDA" w:rsidRDefault="00216BD5" w:rsidP="006703BB">
            <w:pPr>
              <w:spacing w:after="120"/>
              <w:rPr>
                <w:rFonts w:eastAsiaTheme="minorHAnsi" w:cstheme="minorBidi"/>
                <w:sz w:val="22"/>
                <w:szCs w:val="22"/>
                <w:lang w:eastAsia="en-US"/>
              </w:rPr>
            </w:pPr>
          </w:p>
        </w:tc>
      </w:tr>
      <w:tr w:rsidR="00216BD5" w:rsidRPr="00F02CDA" w14:paraId="0AEE824C" w14:textId="77777777" w:rsidTr="006703BB">
        <w:tc>
          <w:tcPr>
            <w:tcW w:w="796" w:type="dxa"/>
            <w:shd w:val="clear" w:color="auto" w:fill="E2EFD9" w:themeFill="accent6" w:themeFillTint="33"/>
            <w:vAlign w:val="center"/>
          </w:tcPr>
          <w:p w14:paraId="0AC83193" w14:textId="77777777" w:rsidR="00216BD5" w:rsidRPr="003E078F" w:rsidRDefault="00216BD5" w:rsidP="006703BB">
            <w:pPr>
              <w:spacing w:after="120"/>
              <w:rPr>
                <w:rFonts w:eastAsiaTheme="minorHAnsi" w:cstheme="minorBidi"/>
                <w:lang w:eastAsia="en-US"/>
              </w:rPr>
            </w:pPr>
            <w:r w:rsidRPr="003E078F">
              <w:rPr>
                <w:rFonts w:eastAsiaTheme="minorHAnsi" w:cstheme="minorBidi"/>
                <w:lang w:eastAsia="en-US"/>
              </w:rPr>
              <w:t>2014</w:t>
            </w:r>
          </w:p>
        </w:tc>
        <w:tc>
          <w:tcPr>
            <w:tcW w:w="902" w:type="dxa"/>
            <w:shd w:val="clear" w:color="auto" w:fill="E2EFD9" w:themeFill="accent6" w:themeFillTint="33"/>
            <w:vAlign w:val="center"/>
          </w:tcPr>
          <w:p w14:paraId="3D22887A" w14:textId="77777777" w:rsidR="00216BD5" w:rsidRPr="00F02CDA" w:rsidRDefault="00216BD5" w:rsidP="006703BB">
            <w:pPr>
              <w:spacing w:after="120"/>
              <w:jc w:val="center"/>
              <w:rPr>
                <w:rFonts w:eastAsiaTheme="minorHAnsi" w:cstheme="minorBidi"/>
                <w:lang w:eastAsia="en-US"/>
              </w:rPr>
            </w:pPr>
            <w:r w:rsidRPr="00F02CDA">
              <w:rPr>
                <w:rFonts w:eastAsiaTheme="minorHAnsi" w:cstheme="minorBidi"/>
                <w:lang w:eastAsia="en-US"/>
              </w:rPr>
              <w:t>22</w:t>
            </w:r>
          </w:p>
        </w:tc>
        <w:tc>
          <w:tcPr>
            <w:tcW w:w="918" w:type="dxa"/>
            <w:shd w:val="clear" w:color="auto" w:fill="E2EFD9" w:themeFill="accent6" w:themeFillTint="33"/>
            <w:vAlign w:val="center"/>
          </w:tcPr>
          <w:p w14:paraId="70DA935F" w14:textId="77777777" w:rsidR="00216BD5" w:rsidRPr="00F02CDA" w:rsidRDefault="00216BD5" w:rsidP="006703BB">
            <w:pPr>
              <w:spacing w:after="120"/>
              <w:jc w:val="center"/>
              <w:rPr>
                <w:rFonts w:eastAsiaTheme="minorHAnsi" w:cstheme="minorBidi"/>
                <w:lang w:eastAsia="en-US"/>
              </w:rPr>
            </w:pPr>
            <w:r w:rsidRPr="00F02CDA">
              <w:rPr>
                <w:rFonts w:eastAsiaTheme="minorHAnsi" w:cstheme="minorBidi"/>
                <w:lang w:eastAsia="en-US"/>
              </w:rPr>
              <w:t>4</w:t>
            </w:r>
          </w:p>
        </w:tc>
        <w:tc>
          <w:tcPr>
            <w:tcW w:w="944" w:type="dxa"/>
            <w:shd w:val="clear" w:color="auto" w:fill="E2EFD9" w:themeFill="accent6" w:themeFillTint="33"/>
            <w:vAlign w:val="center"/>
          </w:tcPr>
          <w:p w14:paraId="0C54A8AA" w14:textId="77777777" w:rsidR="00216BD5" w:rsidRPr="00F02CDA" w:rsidRDefault="00216BD5" w:rsidP="006703BB">
            <w:pPr>
              <w:spacing w:after="120"/>
              <w:jc w:val="center"/>
              <w:rPr>
                <w:rFonts w:eastAsiaTheme="minorHAnsi" w:cstheme="minorBidi"/>
                <w:lang w:eastAsia="en-US"/>
              </w:rPr>
            </w:pPr>
            <w:r w:rsidRPr="00F02CDA">
              <w:rPr>
                <w:rFonts w:eastAsiaTheme="minorHAnsi" w:cstheme="minorBidi"/>
                <w:lang w:eastAsia="en-US"/>
              </w:rPr>
              <w:t>13</w:t>
            </w:r>
          </w:p>
        </w:tc>
        <w:tc>
          <w:tcPr>
            <w:tcW w:w="1463" w:type="dxa"/>
            <w:shd w:val="clear" w:color="auto" w:fill="E2EFD9" w:themeFill="accent6" w:themeFillTint="33"/>
            <w:vAlign w:val="center"/>
          </w:tcPr>
          <w:p w14:paraId="26D72CB2" w14:textId="77777777" w:rsidR="00216BD5" w:rsidRPr="00F02CDA" w:rsidRDefault="00216BD5" w:rsidP="006703BB">
            <w:pPr>
              <w:spacing w:after="120"/>
              <w:jc w:val="center"/>
              <w:rPr>
                <w:rFonts w:eastAsiaTheme="minorHAnsi" w:cstheme="minorBidi"/>
                <w:lang w:eastAsia="en-US"/>
              </w:rPr>
            </w:pPr>
            <w:r w:rsidRPr="00F02CDA">
              <w:rPr>
                <w:rFonts w:eastAsiaTheme="minorHAnsi" w:cstheme="minorBidi"/>
                <w:lang w:eastAsia="en-US"/>
              </w:rPr>
              <w:t>5</w:t>
            </w:r>
          </w:p>
        </w:tc>
        <w:tc>
          <w:tcPr>
            <w:tcW w:w="926" w:type="dxa"/>
            <w:shd w:val="clear" w:color="auto" w:fill="E2EFD9" w:themeFill="accent6" w:themeFillTint="33"/>
            <w:vAlign w:val="center"/>
          </w:tcPr>
          <w:p w14:paraId="27DA5F37" w14:textId="77777777" w:rsidR="00216BD5" w:rsidRPr="00F02CDA" w:rsidRDefault="00216BD5" w:rsidP="006703BB">
            <w:pPr>
              <w:spacing w:after="120"/>
              <w:jc w:val="center"/>
              <w:rPr>
                <w:rFonts w:eastAsiaTheme="minorHAnsi" w:cstheme="minorBidi"/>
                <w:lang w:eastAsia="en-US"/>
              </w:rPr>
            </w:pPr>
            <w:r w:rsidRPr="00F02CDA">
              <w:rPr>
                <w:rFonts w:eastAsiaTheme="minorHAnsi" w:cstheme="minorBidi"/>
                <w:lang w:eastAsia="en-US"/>
              </w:rPr>
              <w:t>14.400</w:t>
            </w:r>
          </w:p>
        </w:tc>
        <w:tc>
          <w:tcPr>
            <w:tcW w:w="1041" w:type="dxa"/>
            <w:shd w:val="clear" w:color="auto" w:fill="E2EFD9" w:themeFill="accent6" w:themeFillTint="33"/>
            <w:vAlign w:val="center"/>
          </w:tcPr>
          <w:p w14:paraId="7F837D72" w14:textId="77777777" w:rsidR="00216BD5" w:rsidRPr="00F02CDA" w:rsidRDefault="00216BD5" w:rsidP="006703BB">
            <w:pPr>
              <w:spacing w:after="120"/>
              <w:jc w:val="center"/>
              <w:rPr>
                <w:rFonts w:eastAsiaTheme="minorHAnsi" w:cstheme="minorBidi"/>
                <w:lang w:eastAsia="en-US"/>
              </w:rPr>
            </w:pPr>
            <w:r w:rsidRPr="00F02CDA">
              <w:rPr>
                <w:rFonts w:eastAsiaTheme="minorHAnsi" w:cstheme="minorBidi"/>
                <w:lang w:eastAsia="en-US"/>
              </w:rPr>
              <w:t>6.500</w:t>
            </w:r>
          </w:p>
        </w:tc>
        <w:tc>
          <w:tcPr>
            <w:tcW w:w="976" w:type="dxa"/>
            <w:shd w:val="clear" w:color="auto" w:fill="E2EFD9" w:themeFill="accent6" w:themeFillTint="33"/>
            <w:vAlign w:val="center"/>
          </w:tcPr>
          <w:p w14:paraId="72706EA7" w14:textId="77777777" w:rsidR="00216BD5" w:rsidRPr="00F02CDA" w:rsidRDefault="00216BD5" w:rsidP="006703BB">
            <w:pPr>
              <w:spacing w:after="120"/>
              <w:jc w:val="center"/>
              <w:rPr>
                <w:rFonts w:eastAsiaTheme="minorHAnsi" w:cstheme="minorBidi"/>
                <w:lang w:eastAsia="en-US"/>
              </w:rPr>
            </w:pPr>
            <w:r w:rsidRPr="00F02CDA">
              <w:rPr>
                <w:rFonts w:eastAsiaTheme="minorHAnsi" w:cstheme="minorBidi"/>
                <w:lang w:eastAsia="en-US"/>
              </w:rPr>
              <w:t>14.800</w:t>
            </w:r>
          </w:p>
        </w:tc>
        <w:tc>
          <w:tcPr>
            <w:tcW w:w="1096" w:type="dxa"/>
            <w:shd w:val="clear" w:color="auto" w:fill="E2EFD9" w:themeFill="accent6" w:themeFillTint="33"/>
            <w:vAlign w:val="center"/>
          </w:tcPr>
          <w:p w14:paraId="5E52009D" w14:textId="77777777" w:rsidR="00216BD5" w:rsidRPr="00F02CDA" w:rsidRDefault="00216BD5" w:rsidP="006703BB">
            <w:pPr>
              <w:spacing w:after="120"/>
              <w:jc w:val="center"/>
              <w:rPr>
                <w:rFonts w:eastAsiaTheme="minorHAnsi" w:cstheme="minorBidi"/>
                <w:lang w:eastAsia="en-US"/>
              </w:rPr>
            </w:pPr>
            <w:r w:rsidRPr="00F02CDA">
              <w:rPr>
                <w:rFonts w:eastAsiaTheme="minorHAnsi" w:cstheme="minorBidi"/>
                <w:lang w:eastAsia="en-US"/>
              </w:rPr>
              <w:t>2</w:t>
            </w:r>
          </w:p>
        </w:tc>
      </w:tr>
    </w:tbl>
    <w:p w14:paraId="7B09495D" w14:textId="77777777" w:rsidR="00216BD5" w:rsidRDefault="00216BD5" w:rsidP="00216BD5">
      <w:pPr>
        <w:spacing w:after="120"/>
        <w:ind w:firstLine="708"/>
        <w:rPr>
          <w:rFonts w:eastAsiaTheme="minorHAnsi" w:cstheme="minorBidi"/>
          <w:sz w:val="24"/>
          <w:szCs w:val="24"/>
          <w:lang w:eastAsia="en-US"/>
        </w:rPr>
      </w:pPr>
    </w:p>
    <w:p w14:paraId="2E5077FC" w14:textId="77777777" w:rsidR="00216BD5" w:rsidRDefault="00216BD5" w:rsidP="00216BD5">
      <w:pPr>
        <w:spacing w:after="120"/>
        <w:ind w:firstLine="708"/>
        <w:rPr>
          <w:rFonts w:eastAsiaTheme="minorHAnsi" w:cstheme="minorBidi"/>
          <w:sz w:val="24"/>
          <w:szCs w:val="24"/>
          <w:lang w:eastAsia="en-US"/>
        </w:rPr>
      </w:pPr>
    </w:p>
    <w:p w14:paraId="6017DA7B" w14:textId="77777777" w:rsidR="00216BD5" w:rsidRPr="00F02CDA" w:rsidRDefault="00216BD5" w:rsidP="00216BD5">
      <w:pPr>
        <w:spacing w:after="120"/>
        <w:ind w:firstLine="708"/>
        <w:rPr>
          <w:rFonts w:eastAsiaTheme="minorHAnsi" w:cstheme="minorBidi"/>
          <w:sz w:val="24"/>
          <w:szCs w:val="24"/>
          <w:lang w:eastAsia="en-US"/>
        </w:rPr>
      </w:pPr>
      <w:r>
        <w:rPr>
          <w:rFonts w:eastAsiaTheme="minorHAnsi" w:cstheme="minorBidi"/>
          <w:sz w:val="24"/>
          <w:szCs w:val="24"/>
          <w:lang w:eastAsia="en-US"/>
        </w:rPr>
        <w:lastRenderedPageBreak/>
        <w:t>O</w:t>
      </w:r>
      <w:r w:rsidRPr="00F02CDA">
        <w:rPr>
          <w:rFonts w:eastAsiaTheme="minorHAnsi" w:cstheme="minorBidi"/>
          <w:sz w:val="24"/>
          <w:szCs w:val="24"/>
          <w:lang w:eastAsia="en-US"/>
        </w:rPr>
        <w:t xml:space="preserve">krem 22 kontrol vykonaných v roku 2014 oddelenie kontroly povinných osôb spracovalo aj celkovo 11 kontrol, ktoré neboli ukončené v roku 2013 a boli prenesené do roku 2014. </w:t>
      </w:r>
      <w:r>
        <w:rPr>
          <w:rFonts w:eastAsiaTheme="minorHAnsi" w:cstheme="minorBidi"/>
          <w:sz w:val="24"/>
          <w:szCs w:val="24"/>
          <w:lang w:eastAsia="en-US"/>
        </w:rPr>
        <w:t xml:space="preserve"> </w:t>
      </w:r>
      <w:r w:rsidRPr="00F02CDA">
        <w:rPr>
          <w:rFonts w:eastAsiaTheme="minorHAnsi" w:cstheme="minorBidi"/>
          <w:sz w:val="24"/>
          <w:szCs w:val="24"/>
          <w:lang w:eastAsia="en-US"/>
        </w:rPr>
        <w:t xml:space="preserve">Z týchto kontrol bolo v roku 2014 </w:t>
      </w:r>
      <w:r>
        <w:rPr>
          <w:rFonts w:eastAsiaTheme="minorHAnsi" w:cstheme="minorBidi"/>
          <w:sz w:val="24"/>
          <w:szCs w:val="24"/>
          <w:lang w:eastAsia="en-US"/>
        </w:rPr>
        <w:t xml:space="preserve">ukončených 10 kontrol, </w:t>
      </w:r>
      <w:r w:rsidRPr="00F02CDA">
        <w:rPr>
          <w:rFonts w:eastAsiaTheme="minorHAnsi" w:cstheme="minorBidi"/>
          <w:sz w:val="24"/>
          <w:szCs w:val="24"/>
          <w:lang w:eastAsia="en-US"/>
        </w:rPr>
        <w:t xml:space="preserve"> jedna z týchto kontrol pokračuje aj v roku 2015. V prípade popisovaných kontrol začatých v roku 2013 a prenesených do roku 2014 bolo vydaných celkovo 8 rozhodnutí o uložení sankcie – pokuty v súhrnnej výške 19.500,- EUR (výšky pokút od 500,- EUR do 5.000,- EUR), 3 krát bola ukončená kontrola bez sankcie. </w:t>
      </w:r>
    </w:p>
    <w:p w14:paraId="0E259C05" w14:textId="77777777" w:rsidR="00216BD5" w:rsidRPr="00F02CDA" w:rsidRDefault="00216BD5" w:rsidP="00216BD5">
      <w:pPr>
        <w:rPr>
          <w:rFonts w:eastAsiaTheme="minorHAnsi" w:cstheme="minorBidi"/>
          <w:sz w:val="24"/>
          <w:szCs w:val="24"/>
          <w:lang w:eastAsia="en-US"/>
        </w:rPr>
      </w:pPr>
      <w:r w:rsidRPr="00F02CDA">
        <w:rPr>
          <w:rFonts w:eastAsiaTheme="minorHAnsi" w:cstheme="minorBidi"/>
          <w:sz w:val="24"/>
          <w:szCs w:val="24"/>
          <w:lang w:eastAsia="en-US"/>
        </w:rPr>
        <w:tab/>
        <w:t xml:space="preserve">Pri výkone kontrolnej činnosti boli oddelením kontroly povinných osôb najčastejšie </w:t>
      </w:r>
      <w:r>
        <w:rPr>
          <w:rFonts w:eastAsiaTheme="minorHAnsi" w:cstheme="minorBidi"/>
          <w:sz w:val="24"/>
          <w:szCs w:val="24"/>
          <w:lang w:eastAsia="en-US"/>
        </w:rPr>
        <w:t>zistené</w:t>
      </w:r>
      <w:r w:rsidRPr="00F02CDA">
        <w:rPr>
          <w:rFonts w:eastAsiaTheme="minorHAnsi" w:cstheme="minorBidi"/>
          <w:sz w:val="24"/>
          <w:szCs w:val="24"/>
          <w:lang w:eastAsia="en-US"/>
        </w:rPr>
        <w:t xml:space="preserve"> nedostatky súvisiace s neúplným, či nedostatočne vypracovaným programom vlastnej činnosti povinnej osoby, s neposkytnutím potrebnej súčinnosti pre účely kontroly, s nezdržaním sa konania, ktoré by mohlo mariť výkon kontroly, súvisiace s nevykonaním identifikácie</w:t>
      </w:r>
      <w:r>
        <w:rPr>
          <w:rFonts w:eastAsiaTheme="minorHAnsi" w:cstheme="minorBidi"/>
          <w:sz w:val="24"/>
          <w:szCs w:val="24"/>
          <w:lang w:eastAsia="en-US"/>
        </w:rPr>
        <w:t xml:space="preserve"> </w:t>
      </w:r>
      <w:r w:rsidRPr="00F02CDA">
        <w:rPr>
          <w:rFonts w:eastAsiaTheme="minorHAnsi" w:cstheme="minorBidi"/>
          <w:sz w:val="24"/>
          <w:szCs w:val="24"/>
          <w:lang w:eastAsia="en-US"/>
        </w:rPr>
        <w:t>klienta, ako aj s overením tejto identifikácie v rozsahu ustanovenom zákonom o ochrane pred legalizáciou, či súvisiace s inými porušeniami povinností, ako je napríklad povinnosť zisťovať účel a plánovanú povahu obchodného vzťahu ku klientovi, povinnosť overovať platnosť získaných informácií, povinnosť zisťovať pôvod finančných prostriedkov, či povinnosť odmietnuť uzatvorenie obchodného vzťahu</w:t>
      </w:r>
      <w:r>
        <w:rPr>
          <w:rFonts w:eastAsiaTheme="minorHAnsi" w:cstheme="minorBidi"/>
          <w:sz w:val="24"/>
          <w:szCs w:val="24"/>
          <w:lang w:eastAsia="en-US"/>
        </w:rPr>
        <w:t>,</w:t>
      </w:r>
      <w:r w:rsidRPr="00F02CDA">
        <w:rPr>
          <w:rFonts w:eastAsiaTheme="minorHAnsi" w:cstheme="minorBidi"/>
          <w:sz w:val="24"/>
          <w:szCs w:val="24"/>
          <w:lang w:eastAsia="en-US"/>
        </w:rPr>
        <w:t xml:space="preserve"> ak povinná osoba nemôže vykonať starostlivosť vo vzťahu ku klientovi. </w:t>
      </w:r>
    </w:p>
    <w:p w14:paraId="53DF1E8B" w14:textId="77777777" w:rsidR="00216BD5" w:rsidRPr="00F02CDA" w:rsidRDefault="00216BD5" w:rsidP="00216BD5">
      <w:pPr>
        <w:rPr>
          <w:rFonts w:eastAsiaTheme="minorHAnsi" w:cstheme="minorBidi"/>
          <w:sz w:val="24"/>
          <w:szCs w:val="24"/>
          <w:lang w:eastAsia="en-US"/>
        </w:rPr>
      </w:pPr>
    </w:p>
    <w:p w14:paraId="31A39336" w14:textId="77777777" w:rsidR="00216BD5" w:rsidRPr="00F02CDA" w:rsidRDefault="00216BD5" w:rsidP="00216BD5">
      <w:pPr>
        <w:rPr>
          <w:rFonts w:eastAsiaTheme="minorHAnsi" w:cstheme="minorBidi"/>
          <w:lang w:eastAsia="en-US"/>
        </w:rPr>
      </w:pPr>
      <w:r w:rsidRPr="00F02CDA">
        <w:rPr>
          <w:rFonts w:eastAsiaTheme="minorHAnsi" w:cstheme="minorBidi"/>
          <w:lang w:eastAsia="en-US"/>
        </w:rPr>
        <w:t>Tabuľka č.</w:t>
      </w:r>
      <w:r>
        <w:rPr>
          <w:rFonts w:eastAsiaTheme="minorHAnsi" w:cstheme="minorBidi"/>
          <w:lang w:eastAsia="en-US"/>
        </w:rPr>
        <w:t xml:space="preserve"> 10</w:t>
      </w:r>
      <w:r w:rsidRPr="00F02CDA">
        <w:rPr>
          <w:rFonts w:eastAsiaTheme="minorHAnsi" w:cstheme="minorBidi"/>
          <w:lang w:eastAsia="en-US"/>
        </w:rPr>
        <w:t>: Štatistické údaje o</w:t>
      </w:r>
      <w:r>
        <w:rPr>
          <w:rFonts w:eastAsiaTheme="minorHAnsi" w:cstheme="minorBidi"/>
          <w:lang w:eastAsia="en-US"/>
        </w:rPr>
        <w:t xml:space="preserve"> </w:t>
      </w:r>
      <w:r w:rsidRPr="00F02CDA">
        <w:rPr>
          <w:rFonts w:eastAsiaTheme="minorHAnsi" w:cstheme="minorBidi"/>
          <w:lang w:eastAsia="en-US"/>
        </w:rPr>
        <w:t>kontrolách povinných osôb rozdelených podľa predmetu činnosti</w:t>
      </w:r>
      <w:r>
        <w:rPr>
          <w:rFonts w:eastAsiaTheme="minorHAnsi" w:cstheme="minorBidi"/>
          <w:lang w:eastAsia="en-US"/>
        </w:rPr>
        <w:t xml:space="preserve"> </w:t>
      </w:r>
      <w:r w:rsidRPr="00F02CDA">
        <w:rPr>
          <w:rFonts w:eastAsiaTheme="minorHAnsi" w:cstheme="minorBidi"/>
          <w:lang w:eastAsia="en-US"/>
        </w:rPr>
        <w:t xml:space="preserve">vykonaných v roku 2014 </w:t>
      </w:r>
    </w:p>
    <w:p w14:paraId="6B535ADA" w14:textId="77777777" w:rsidR="00216BD5" w:rsidRPr="00F02CDA" w:rsidRDefault="00216BD5" w:rsidP="00216BD5">
      <w:pPr>
        <w:rPr>
          <w:rFonts w:eastAsiaTheme="minorHAnsi" w:cstheme="minorBidi"/>
          <w:lang w:eastAsia="en-US"/>
        </w:rPr>
      </w:pPr>
    </w:p>
    <w:tbl>
      <w:tblPr>
        <w:tblStyle w:val="Mriekatabuky1"/>
        <w:tblW w:w="0" w:type="auto"/>
        <w:jc w:val="center"/>
        <w:tblLook w:val="04A0" w:firstRow="1" w:lastRow="0" w:firstColumn="1" w:lastColumn="0" w:noHBand="0" w:noVBand="1"/>
      </w:tblPr>
      <w:tblGrid>
        <w:gridCol w:w="5242"/>
        <w:gridCol w:w="1766"/>
      </w:tblGrid>
      <w:tr w:rsidR="00216BD5" w:rsidRPr="00F02CDA" w14:paraId="59E26473"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7D14E09" w14:textId="77777777" w:rsidR="00216BD5" w:rsidRPr="00F02CDA" w:rsidRDefault="00216BD5" w:rsidP="006703BB">
            <w:pPr>
              <w:jc w:val="center"/>
              <w:rPr>
                <w:rFonts w:eastAsiaTheme="minorHAnsi" w:cstheme="minorBidi"/>
                <w:b/>
                <w:sz w:val="24"/>
                <w:szCs w:val="24"/>
                <w:lang w:eastAsia="en-US"/>
              </w:rPr>
            </w:pPr>
            <w:r w:rsidRPr="00F02CDA">
              <w:rPr>
                <w:rFonts w:eastAsiaTheme="minorHAnsi" w:cstheme="minorBidi"/>
                <w:b/>
                <w:sz w:val="24"/>
                <w:szCs w:val="24"/>
                <w:lang w:eastAsia="en-US"/>
              </w:rPr>
              <w:t>Povinná osoba - činnosť</w:t>
            </w:r>
          </w:p>
        </w:tc>
        <w:tc>
          <w:tcPr>
            <w:tcW w:w="176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3AB9E3D" w14:textId="77777777" w:rsidR="00216BD5" w:rsidRPr="00F02CDA" w:rsidRDefault="00216BD5" w:rsidP="006703BB">
            <w:pPr>
              <w:jc w:val="center"/>
              <w:rPr>
                <w:rFonts w:eastAsiaTheme="minorHAnsi" w:cstheme="minorBidi"/>
                <w:b/>
                <w:sz w:val="24"/>
                <w:szCs w:val="24"/>
                <w:lang w:eastAsia="en-US"/>
              </w:rPr>
            </w:pPr>
            <w:r w:rsidRPr="00F02CDA">
              <w:rPr>
                <w:rFonts w:eastAsiaTheme="minorHAnsi" w:cstheme="minorBidi"/>
                <w:b/>
                <w:sz w:val="24"/>
                <w:szCs w:val="24"/>
                <w:lang w:eastAsia="en-US"/>
              </w:rPr>
              <w:t>Počet kontrol</w:t>
            </w:r>
          </w:p>
        </w:tc>
      </w:tr>
      <w:tr w:rsidR="00216BD5" w:rsidRPr="00F02CDA" w14:paraId="758310D0"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3464E5"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Zmenáreň</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0F8C38"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r w:rsidR="00216BD5" w:rsidRPr="00F02CDA" w14:paraId="3AAE2D0B"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28FEEA" w14:textId="77777777" w:rsidR="00216BD5" w:rsidRPr="00413AC8" w:rsidRDefault="00216BD5" w:rsidP="006703BB">
            <w:pPr>
              <w:jc w:val="left"/>
              <w:rPr>
                <w:rFonts w:eastAsiaTheme="minorHAnsi" w:cstheme="minorBidi"/>
                <w:sz w:val="24"/>
                <w:lang w:eastAsia="en-US"/>
              </w:rPr>
            </w:pPr>
            <w:r>
              <w:rPr>
                <w:rFonts w:eastAsiaTheme="minorHAnsi" w:cstheme="minorBidi"/>
                <w:sz w:val="24"/>
                <w:lang w:eastAsia="en-US"/>
              </w:rPr>
              <w:t>Sprostredkovanie r</w:t>
            </w:r>
            <w:r w:rsidRPr="00413AC8">
              <w:rPr>
                <w:rFonts w:eastAsiaTheme="minorHAnsi" w:cstheme="minorBidi"/>
                <w:sz w:val="24"/>
                <w:lang w:eastAsia="en-US"/>
              </w:rPr>
              <w:t>ealitn</w:t>
            </w:r>
            <w:r>
              <w:rPr>
                <w:rFonts w:eastAsiaTheme="minorHAnsi" w:cstheme="minorBidi"/>
                <w:sz w:val="24"/>
                <w:lang w:eastAsia="en-US"/>
              </w:rPr>
              <w:t>ej</w:t>
            </w:r>
            <w:r w:rsidRPr="00413AC8">
              <w:rPr>
                <w:rFonts w:eastAsiaTheme="minorHAnsi" w:cstheme="minorBidi"/>
                <w:sz w:val="24"/>
                <w:lang w:eastAsia="en-US"/>
              </w:rPr>
              <w:t xml:space="preserve"> činnos</w:t>
            </w:r>
            <w:r>
              <w:rPr>
                <w:rFonts w:eastAsiaTheme="minorHAnsi" w:cstheme="minorBidi"/>
                <w:sz w:val="24"/>
                <w:lang w:eastAsia="en-US"/>
              </w:rPr>
              <w:t>ti</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C81A84"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r w:rsidR="00216BD5" w:rsidRPr="00F02CDA" w14:paraId="26D0CAE6"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02D8D6"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Poskytovanie pôžičiek</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455B6A"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3</w:t>
            </w:r>
          </w:p>
        </w:tc>
      </w:tr>
      <w:tr w:rsidR="00216BD5" w:rsidRPr="00F02CDA" w14:paraId="69AFDB1F"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04A7C8"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Finančný prenájom</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A56F68"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3</w:t>
            </w:r>
          </w:p>
        </w:tc>
      </w:tr>
      <w:tr w:rsidR="00216BD5" w:rsidRPr="00F02CDA" w14:paraId="4A2FB303"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761526"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Združenie majetku</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1600F6"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r w:rsidR="00216BD5" w:rsidRPr="00F02CDA" w14:paraId="543AAC48"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F3452C"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Advokát</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B15C9C"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2</w:t>
            </w:r>
          </w:p>
        </w:tc>
      </w:tr>
      <w:tr w:rsidR="00216BD5" w:rsidRPr="00F02CDA" w14:paraId="2D55F3C6"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F0174D"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Obchodovanie s pohľadávkami</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BADA50"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r w:rsidR="00216BD5" w:rsidRPr="00F02CDA" w14:paraId="782486EE"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75BC0F"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Banka</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BC7015"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r w:rsidR="00216BD5" w:rsidRPr="00F02CDA" w14:paraId="1F9FCB1F"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59463B"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Záložňa</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7E82351"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2</w:t>
            </w:r>
          </w:p>
        </w:tc>
      </w:tr>
      <w:tr w:rsidR="00216BD5" w:rsidRPr="00F02CDA" w14:paraId="6B186EC5"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401EEE"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Notár</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EF72EB"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r w:rsidR="00216BD5" w:rsidRPr="00F02CDA" w14:paraId="7FEFD1FE"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5E6DC2"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Organizačný a ekonomický poradca</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A57E6B"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r w:rsidR="00216BD5" w:rsidRPr="00F02CDA" w14:paraId="40EF36C0"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57F888"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Agent platobných služieb</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E64B99"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r w:rsidR="00216BD5" w:rsidRPr="00F02CDA" w14:paraId="0226CE7F"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143B7E"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Účtovník</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3B1F27"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r w:rsidR="00216BD5" w:rsidRPr="00F02CDA" w14:paraId="39C6A36C"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5CCA1E0"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Hazardné hry</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6AC9A6"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r w:rsidR="00216BD5" w:rsidRPr="00F02CDA" w14:paraId="3F96F44D"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782FF8"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Obchodník s cennými papiermi</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1D4E661"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r w:rsidR="00216BD5" w:rsidRPr="00F02CDA" w14:paraId="31C509B6" w14:textId="77777777" w:rsidTr="006703BB">
        <w:trPr>
          <w:trHeight w:val="454"/>
          <w:jc w:val="center"/>
        </w:trPr>
        <w:tc>
          <w:tcPr>
            <w:tcW w:w="52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26F861" w14:textId="77777777" w:rsidR="00216BD5" w:rsidRPr="00413AC8" w:rsidRDefault="00216BD5" w:rsidP="006703BB">
            <w:pPr>
              <w:jc w:val="left"/>
              <w:rPr>
                <w:rFonts w:eastAsiaTheme="minorHAnsi" w:cstheme="minorBidi"/>
                <w:sz w:val="24"/>
                <w:lang w:eastAsia="en-US"/>
              </w:rPr>
            </w:pPr>
            <w:r w:rsidRPr="00413AC8">
              <w:rPr>
                <w:rFonts w:eastAsiaTheme="minorHAnsi" w:cstheme="minorBidi"/>
                <w:sz w:val="24"/>
                <w:lang w:eastAsia="en-US"/>
              </w:rPr>
              <w:t>Správa majetku</w:t>
            </w:r>
          </w:p>
        </w:tc>
        <w:tc>
          <w:tcPr>
            <w:tcW w:w="17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B1362DF" w14:textId="77777777" w:rsidR="00216BD5" w:rsidRPr="00413AC8" w:rsidRDefault="00216BD5" w:rsidP="006703BB">
            <w:pPr>
              <w:jc w:val="center"/>
              <w:rPr>
                <w:rFonts w:eastAsiaTheme="minorHAnsi" w:cstheme="minorBidi"/>
                <w:sz w:val="24"/>
                <w:lang w:eastAsia="en-US"/>
              </w:rPr>
            </w:pPr>
            <w:r w:rsidRPr="00413AC8">
              <w:rPr>
                <w:rFonts w:eastAsiaTheme="minorHAnsi" w:cstheme="minorBidi"/>
                <w:sz w:val="24"/>
                <w:lang w:eastAsia="en-US"/>
              </w:rPr>
              <w:t>1</w:t>
            </w:r>
          </w:p>
        </w:tc>
      </w:tr>
    </w:tbl>
    <w:p w14:paraId="6F1258F7" w14:textId="77777777" w:rsidR="00216BD5" w:rsidRDefault="00216BD5" w:rsidP="00216BD5">
      <w:pPr>
        <w:spacing w:after="120"/>
        <w:rPr>
          <w:rFonts w:eastAsiaTheme="minorHAnsi" w:cstheme="minorBidi"/>
          <w:lang w:eastAsia="en-US"/>
        </w:rPr>
      </w:pPr>
    </w:p>
    <w:p w14:paraId="2DEBF15F" w14:textId="77777777" w:rsidR="00216BD5" w:rsidRPr="00F02CDA" w:rsidRDefault="00216BD5" w:rsidP="00216BD5">
      <w:pPr>
        <w:spacing w:after="120"/>
        <w:rPr>
          <w:rFonts w:eastAsiaTheme="minorHAnsi" w:cstheme="minorBidi"/>
          <w:lang w:eastAsia="en-US"/>
        </w:rPr>
      </w:pPr>
      <w:r w:rsidRPr="00F02CDA">
        <w:rPr>
          <w:rFonts w:eastAsiaTheme="minorHAnsi" w:cstheme="minorBidi"/>
          <w:lang w:eastAsia="en-US"/>
        </w:rPr>
        <w:lastRenderedPageBreak/>
        <w:t xml:space="preserve">Graf č. </w:t>
      </w:r>
      <w:r>
        <w:rPr>
          <w:rFonts w:eastAsiaTheme="minorHAnsi" w:cstheme="minorBidi"/>
          <w:lang w:eastAsia="en-US"/>
        </w:rPr>
        <w:t>3</w:t>
      </w:r>
      <w:r w:rsidRPr="00F02CDA">
        <w:rPr>
          <w:rFonts w:eastAsiaTheme="minorHAnsi" w:cstheme="minorBidi"/>
          <w:lang w:eastAsia="en-US"/>
        </w:rPr>
        <w:t xml:space="preserve">: Grafické znázornenie povinných osôb rozdelených podľa predmetu činnosti, u ktorých boli v roku 2014 vykonané kontroly </w:t>
      </w:r>
    </w:p>
    <w:p w14:paraId="4F9783BB" w14:textId="77777777" w:rsidR="00216BD5" w:rsidRPr="00F02CDA" w:rsidRDefault="00216BD5" w:rsidP="00216BD5">
      <w:pPr>
        <w:spacing w:after="120"/>
        <w:rPr>
          <w:rFonts w:eastAsiaTheme="minorHAnsi" w:cstheme="minorBidi"/>
          <w:sz w:val="24"/>
          <w:szCs w:val="24"/>
          <w:lang w:eastAsia="en-US"/>
        </w:rPr>
      </w:pPr>
      <w:r w:rsidRPr="00F02CDA">
        <w:rPr>
          <w:rFonts w:eastAsiaTheme="minorHAnsi" w:cstheme="minorBidi"/>
          <w:noProof/>
          <w:sz w:val="24"/>
          <w:szCs w:val="22"/>
        </w:rPr>
        <w:drawing>
          <wp:inline distT="0" distB="0" distL="0" distR="0" wp14:anchorId="440E2CE8" wp14:editId="6EDD9B2B">
            <wp:extent cx="5716402" cy="2894665"/>
            <wp:effectExtent l="0" t="0" r="17780" b="2032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A57BF2" w14:textId="77777777" w:rsidR="00216BD5" w:rsidRDefault="00216BD5" w:rsidP="00216BD5">
      <w:pPr>
        <w:spacing w:after="120"/>
        <w:rPr>
          <w:rFonts w:eastAsiaTheme="minorHAnsi" w:cstheme="minorBidi"/>
          <w:sz w:val="24"/>
          <w:szCs w:val="24"/>
          <w:lang w:eastAsia="en-US"/>
        </w:rPr>
      </w:pPr>
    </w:p>
    <w:p w14:paraId="2190B2AE" w14:textId="77777777" w:rsidR="00216BD5" w:rsidRPr="00F02CDA"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t>Z</w:t>
      </w:r>
      <w:r w:rsidRPr="00F02CDA">
        <w:rPr>
          <w:rFonts w:eastAsiaTheme="minorHAnsi" w:cstheme="minorBidi"/>
          <w:sz w:val="24"/>
          <w:szCs w:val="24"/>
          <w:lang w:eastAsia="en-US"/>
        </w:rPr>
        <w:t>a účelom zabezpečenia vyššej efektivity kontroly</w:t>
      </w:r>
      <w:r>
        <w:rPr>
          <w:rFonts w:eastAsiaTheme="minorHAnsi" w:cstheme="minorBidi"/>
          <w:sz w:val="24"/>
          <w:szCs w:val="24"/>
          <w:lang w:eastAsia="en-US"/>
        </w:rPr>
        <w:t xml:space="preserve"> s prihliadnutím</w:t>
      </w:r>
      <w:r w:rsidRPr="00F02CDA">
        <w:rPr>
          <w:rFonts w:eastAsiaTheme="minorHAnsi" w:cstheme="minorBidi"/>
          <w:sz w:val="24"/>
          <w:szCs w:val="24"/>
          <w:lang w:eastAsia="en-US"/>
        </w:rPr>
        <w:t xml:space="preserve"> na rozsah a určité špecifiká povinných osôb</w:t>
      </w:r>
      <w:r>
        <w:rPr>
          <w:rFonts w:eastAsiaTheme="minorHAnsi" w:cstheme="minorBidi"/>
          <w:sz w:val="24"/>
          <w:szCs w:val="24"/>
          <w:lang w:eastAsia="en-US"/>
        </w:rPr>
        <w:t xml:space="preserve"> sú</w:t>
      </w:r>
      <w:r w:rsidRPr="00F02CDA">
        <w:rPr>
          <w:rFonts w:eastAsiaTheme="minorHAnsi" w:cstheme="minorBidi"/>
          <w:sz w:val="24"/>
          <w:szCs w:val="24"/>
          <w:lang w:eastAsia="en-US"/>
        </w:rPr>
        <w:t xml:space="preserve"> zákon</w:t>
      </w:r>
      <w:r>
        <w:rPr>
          <w:rFonts w:eastAsiaTheme="minorHAnsi" w:cstheme="minorBidi"/>
          <w:sz w:val="24"/>
          <w:szCs w:val="24"/>
          <w:lang w:eastAsia="en-US"/>
        </w:rPr>
        <w:t>om</w:t>
      </w:r>
      <w:r w:rsidRPr="00F02CDA">
        <w:rPr>
          <w:rFonts w:eastAsiaTheme="minorHAnsi" w:cstheme="minorBidi"/>
          <w:sz w:val="24"/>
          <w:szCs w:val="24"/>
          <w:lang w:eastAsia="en-US"/>
        </w:rPr>
        <w:t xml:space="preserve"> o ochrane pred legalizáciou </w:t>
      </w:r>
      <w:r>
        <w:rPr>
          <w:rFonts w:eastAsiaTheme="minorHAnsi" w:cstheme="minorBidi"/>
          <w:sz w:val="24"/>
          <w:szCs w:val="24"/>
          <w:lang w:eastAsia="en-US"/>
        </w:rPr>
        <w:t>určené</w:t>
      </w:r>
      <w:r w:rsidRPr="00F02CDA">
        <w:rPr>
          <w:rFonts w:eastAsiaTheme="minorHAnsi" w:cstheme="minorBidi"/>
          <w:sz w:val="24"/>
          <w:szCs w:val="24"/>
          <w:lang w:eastAsia="en-US"/>
        </w:rPr>
        <w:t xml:space="preserve"> aj ďalšie kontrolné orgány –</w:t>
      </w:r>
      <w:r>
        <w:rPr>
          <w:rFonts w:eastAsiaTheme="minorHAnsi" w:cstheme="minorBidi"/>
          <w:sz w:val="24"/>
          <w:szCs w:val="24"/>
          <w:lang w:eastAsia="en-US"/>
        </w:rPr>
        <w:t xml:space="preserve"> </w:t>
      </w:r>
      <w:r w:rsidRPr="00F02CDA">
        <w:rPr>
          <w:rFonts w:eastAsiaTheme="minorHAnsi" w:cstheme="minorBidi"/>
          <w:sz w:val="24"/>
          <w:szCs w:val="24"/>
          <w:lang w:eastAsia="en-US"/>
        </w:rPr>
        <w:t xml:space="preserve">NBS a Ministerstvo financií </w:t>
      </w:r>
      <w:r>
        <w:rPr>
          <w:rFonts w:eastAsiaTheme="minorHAnsi" w:cstheme="minorBidi"/>
          <w:sz w:val="24"/>
          <w:szCs w:val="24"/>
          <w:lang w:eastAsia="en-US"/>
        </w:rPr>
        <w:t xml:space="preserve">SR </w:t>
      </w:r>
      <w:r w:rsidRPr="00F02CDA">
        <w:rPr>
          <w:rFonts w:eastAsiaTheme="minorHAnsi" w:cstheme="minorBidi"/>
          <w:sz w:val="24"/>
          <w:szCs w:val="24"/>
          <w:lang w:eastAsia="en-US"/>
        </w:rPr>
        <w:t>(ďalej len „MF SR“), ktoré sú oprávnené kontrolovať plnenie povinností vyplývajúcich zo zákona</w:t>
      </w:r>
      <w:r>
        <w:rPr>
          <w:rFonts w:eastAsiaTheme="minorHAnsi" w:cstheme="minorBidi"/>
          <w:sz w:val="24"/>
          <w:szCs w:val="24"/>
          <w:lang w:eastAsia="en-US"/>
        </w:rPr>
        <w:t xml:space="preserve"> </w:t>
      </w:r>
      <w:r w:rsidRPr="00F02CDA">
        <w:rPr>
          <w:rFonts w:eastAsiaTheme="minorHAnsi" w:cstheme="minorBidi"/>
          <w:sz w:val="24"/>
          <w:szCs w:val="24"/>
          <w:lang w:eastAsia="en-US"/>
        </w:rPr>
        <w:t>o ochrane pred legalizáciou</w:t>
      </w:r>
      <w:r>
        <w:rPr>
          <w:rFonts w:eastAsiaTheme="minorHAnsi" w:cstheme="minorBidi"/>
          <w:sz w:val="24"/>
          <w:szCs w:val="24"/>
          <w:lang w:eastAsia="en-US"/>
        </w:rPr>
        <w:t xml:space="preserve"> </w:t>
      </w:r>
      <w:r w:rsidRPr="00F02CDA">
        <w:rPr>
          <w:rFonts w:eastAsiaTheme="minorHAnsi" w:cstheme="minorBidi"/>
          <w:sz w:val="24"/>
          <w:szCs w:val="24"/>
          <w:lang w:eastAsia="en-US"/>
        </w:rPr>
        <w:t>v rozsahu povinných osôb, ktoré podliehajú ich dohľadu, respektíve dozoru.</w:t>
      </w:r>
      <w:r>
        <w:rPr>
          <w:rFonts w:eastAsiaTheme="minorHAnsi" w:cstheme="minorBidi"/>
          <w:sz w:val="24"/>
          <w:szCs w:val="24"/>
          <w:lang w:eastAsia="en-US"/>
        </w:rPr>
        <w:t xml:space="preserve"> </w:t>
      </w:r>
      <w:r w:rsidRPr="00F02CDA">
        <w:rPr>
          <w:rFonts w:eastAsiaTheme="minorHAnsi" w:cstheme="minorBidi"/>
          <w:sz w:val="24"/>
          <w:szCs w:val="24"/>
          <w:lang w:eastAsia="en-US"/>
        </w:rPr>
        <w:t>Na rozdiel od</w:t>
      </w:r>
      <w:r>
        <w:rPr>
          <w:rFonts w:eastAsiaTheme="minorHAnsi" w:cstheme="minorBidi"/>
          <w:sz w:val="24"/>
          <w:szCs w:val="24"/>
          <w:lang w:eastAsia="en-US"/>
        </w:rPr>
        <w:t> </w:t>
      </w:r>
      <w:r w:rsidRPr="00F02CDA">
        <w:rPr>
          <w:rFonts w:eastAsiaTheme="minorHAnsi" w:cstheme="minorBidi"/>
          <w:sz w:val="24"/>
          <w:szCs w:val="24"/>
          <w:lang w:eastAsia="en-US"/>
        </w:rPr>
        <w:t xml:space="preserve">týchto kontrolných orgánov je </w:t>
      </w:r>
      <w:r w:rsidRPr="005A1F3E">
        <w:rPr>
          <w:rFonts w:eastAsiaTheme="minorHAnsi" w:cstheme="minorBidi"/>
          <w:sz w:val="24"/>
          <w:szCs w:val="24"/>
          <w:lang w:eastAsia="en-US"/>
        </w:rPr>
        <w:t>oddelenie kont</w:t>
      </w:r>
      <w:r w:rsidRPr="00F02CDA">
        <w:rPr>
          <w:rFonts w:eastAsiaTheme="minorHAnsi" w:cstheme="minorBidi"/>
          <w:sz w:val="24"/>
          <w:szCs w:val="24"/>
          <w:lang w:eastAsia="en-US"/>
        </w:rPr>
        <w:t>roly povinných osôb oprávnené vykonávať kontrolu u všetkých povinný</w:t>
      </w:r>
      <w:r>
        <w:rPr>
          <w:rFonts w:eastAsiaTheme="minorHAnsi" w:cstheme="minorBidi"/>
          <w:sz w:val="24"/>
          <w:szCs w:val="24"/>
          <w:lang w:eastAsia="en-US"/>
        </w:rPr>
        <w:t>ch osôb. Pri vykonávaní kontrol</w:t>
      </w:r>
      <w:r w:rsidRPr="00F02CDA">
        <w:rPr>
          <w:rFonts w:eastAsiaTheme="minorHAnsi" w:cstheme="minorBidi"/>
          <w:sz w:val="24"/>
          <w:szCs w:val="24"/>
          <w:lang w:eastAsia="en-US"/>
        </w:rPr>
        <w:t xml:space="preserve"> je povinnosťou </w:t>
      </w:r>
      <w:r>
        <w:rPr>
          <w:rFonts w:eastAsiaTheme="minorHAnsi" w:cstheme="minorBidi"/>
          <w:sz w:val="24"/>
          <w:szCs w:val="24"/>
          <w:lang w:eastAsia="en-US"/>
        </w:rPr>
        <w:t>NBS a MF SR</w:t>
      </w:r>
      <w:r w:rsidRPr="00F02CDA">
        <w:rPr>
          <w:rFonts w:eastAsiaTheme="minorHAnsi" w:cstheme="minorBidi"/>
          <w:sz w:val="24"/>
          <w:szCs w:val="24"/>
          <w:lang w:eastAsia="en-US"/>
        </w:rPr>
        <w:t xml:space="preserve"> oznamovať FSJ údaje potrebné na koordináciu kontrolnej činnosti, či vedenie príslušných štatistík. Uvedené údaje oznamované podľa § 29 ods. 4 zákona o ochrane pred legalizáciou sa</w:t>
      </w:r>
      <w:r>
        <w:rPr>
          <w:rFonts w:eastAsiaTheme="minorHAnsi" w:cstheme="minorBidi"/>
          <w:sz w:val="24"/>
          <w:szCs w:val="24"/>
          <w:lang w:eastAsia="en-US"/>
        </w:rPr>
        <w:t> </w:t>
      </w:r>
      <w:r w:rsidRPr="00F02CDA">
        <w:rPr>
          <w:rFonts w:eastAsiaTheme="minorHAnsi" w:cstheme="minorBidi"/>
          <w:sz w:val="24"/>
          <w:szCs w:val="24"/>
          <w:lang w:eastAsia="en-US"/>
        </w:rPr>
        <w:t>týkajú miesta podnikania, alebo sídla, identifikačného čísla a druhu povinnej osoby u ktorej má byť</w:t>
      </w:r>
      <w:r>
        <w:rPr>
          <w:rFonts w:eastAsiaTheme="minorHAnsi" w:cstheme="minorBidi"/>
          <w:sz w:val="24"/>
          <w:szCs w:val="24"/>
          <w:lang w:eastAsia="en-US"/>
        </w:rPr>
        <w:t xml:space="preserve"> </w:t>
      </w:r>
      <w:r w:rsidRPr="00F02CDA">
        <w:rPr>
          <w:rFonts w:eastAsiaTheme="minorHAnsi" w:cstheme="minorBidi"/>
          <w:sz w:val="24"/>
          <w:szCs w:val="24"/>
          <w:lang w:eastAsia="en-US"/>
        </w:rPr>
        <w:t xml:space="preserve">kontrola vykonávaná a po ukončení kontroly aj údaje týkajúce sa výsledku kontroly, či prijatých opatrení. </w:t>
      </w:r>
    </w:p>
    <w:p w14:paraId="472386CB" w14:textId="77777777" w:rsidR="00216BD5" w:rsidRPr="00F02CDA" w:rsidRDefault="00216BD5" w:rsidP="00216BD5">
      <w:pPr>
        <w:rPr>
          <w:rFonts w:eastAsiaTheme="minorHAnsi" w:cstheme="minorBidi"/>
          <w:sz w:val="24"/>
          <w:szCs w:val="24"/>
          <w:lang w:eastAsia="en-US"/>
        </w:rPr>
      </w:pPr>
      <w:r w:rsidRPr="00F02CDA">
        <w:rPr>
          <w:rFonts w:eastAsiaTheme="minorHAnsi" w:cstheme="minorBidi"/>
          <w:sz w:val="24"/>
          <w:szCs w:val="24"/>
          <w:lang w:eastAsia="en-US"/>
        </w:rPr>
        <w:tab/>
        <w:t xml:space="preserve">V roku 2014 FSJ prijala od MF SR v rámci danej povinnosti oznámenia o vykonaní dozoru u povinnej osoby v dvoch prípadoch. V prípade </w:t>
      </w:r>
      <w:r>
        <w:rPr>
          <w:rFonts w:eastAsiaTheme="minorHAnsi" w:cstheme="minorBidi"/>
          <w:sz w:val="24"/>
          <w:szCs w:val="24"/>
          <w:lang w:eastAsia="en-US"/>
        </w:rPr>
        <w:t>NBS</w:t>
      </w:r>
      <w:r w:rsidRPr="00F02CDA">
        <w:rPr>
          <w:rFonts w:eastAsiaTheme="minorHAnsi" w:cstheme="minorBidi"/>
          <w:sz w:val="24"/>
          <w:szCs w:val="24"/>
          <w:lang w:eastAsia="en-US"/>
        </w:rPr>
        <w:t xml:space="preserve"> bolo za obdobie roku 2014 podaných na FSJ celkovo 16 oznámení o plánovaných kontrolách, ktoré vykonali</w:t>
      </w:r>
      <w:r>
        <w:rPr>
          <w:rFonts w:eastAsiaTheme="minorHAnsi" w:cstheme="minorBidi"/>
          <w:sz w:val="24"/>
          <w:szCs w:val="24"/>
          <w:lang w:eastAsia="en-US"/>
        </w:rPr>
        <w:t xml:space="preserve"> </w:t>
      </w:r>
      <w:r w:rsidRPr="00F02CDA">
        <w:rPr>
          <w:rFonts w:eastAsiaTheme="minorHAnsi" w:cstheme="minorBidi"/>
          <w:sz w:val="24"/>
          <w:szCs w:val="24"/>
          <w:lang w:eastAsia="en-US"/>
        </w:rPr>
        <w:t>zamestnanci Útvaru dohľadu nad finančným trhom N</w:t>
      </w:r>
      <w:r>
        <w:rPr>
          <w:rFonts w:eastAsiaTheme="minorHAnsi" w:cstheme="minorBidi"/>
          <w:sz w:val="24"/>
          <w:szCs w:val="24"/>
          <w:lang w:eastAsia="en-US"/>
        </w:rPr>
        <w:t>BS</w:t>
      </w:r>
      <w:r w:rsidRPr="00F02CDA">
        <w:rPr>
          <w:rFonts w:eastAsiaTheme="minorHAnsi" w:cstheme="minorBidi"/>
          <w:sz w:val="24"/>
          <w:szCs w:val="24"/>
          <w:lang w:eastAsia="en-US"/>
        </w:rPr>
        <w:t xml:space="preserve"> a 7 oznámení o výsledkoch jednotlivých kontrol povinných osôb podliehajúcich dohľadu N</w:t>
      </w:r>
      <w:r>
        <w:rPr>
          <w:rFonts w:eastAsiaTheme="minorHAnsi" w:cstheme="minorBidi"/>
          <w:sz w:val="24"/>
          <w:szCs w:val="24"/>
          <w:lang w:eastAsia="en-US"/>
        </w:rPr>
        <w:t>BS</w:t>
      </w:r>
      <w:r w:rsidRPr="00F02CDA">
        <w:rPr>
          <w:rFonts w:eastAsiaTheme="minorHAnsi" w:cstheme="minorBidi"/>
          <w:sz w:val="24"/>
          <w:szCs w:val="24"/>
          <w:lang w:eastAsia="en-US"/>
        </w:rPr>
        <w:t xml:space="preserve">. </w:t>
      </w:r>
    </w:p>
    <w:p w14:paraId="38F6F276" w14:textId="77777777" w:rsidR="00216BD5" w:rsidRPr="00F02CDA" w:rsidRDefault="00216BD5" w:rsidP="00216BD5">
      <w:pPr>
        <w:rPr>
          <w:rFonts w:eastAsiaTheme="minorHAnsi" w:cstheme="minorBidi"/>
          <w:lang w:eastAsia="en-US"/>
        </w:rPr>
      </w:pPr>
    </w:p>
    <w:p w14:paraId="74C0751A" w14:textId="77777777" w:rsidR="00216BD5" w:rsidRDefault="00216BD5" w:rsidP="00216BD5">
      <w:pPr>
        <w:spacing w:after="120"/>
        <w:rPr>
          <w:rFonts w:eastAsiaTheme="minorHAnsi" w:cstheme="minorBidi"/>
          <w:lang w:eastAsia="en-US"/>
        </w:rPr>
      </w:pPr>
    </w:p>
    <w:p w14:paraId="1659574A" w14:textId="77777777" w:rsidR="00216BD5" w:rsidRPr="00F02CDA" w:rsidRDefault="00216BD5" w:rsidP="00216BD5">
      <w:pPr>
        <w:spacing w:after="120"/>
        <w:rPr>
          <w:rFonts w:eastAsiaTheme="minorHAnsi" w:cstheme="minorBidi"/>
          <w:lang w:eastAsia="en-US"/>
        </w:rPr>
      </w:pPr>
      <w:r w:rsidRPr="00F02CDA">
        <w:rPr>
          <w:rFonts w:eastAsiaTheme="minorHAnsi" w:cstheme="minorBidi"/>
          <w:lang w:eastAsia="en-US"/>
        </w:rPr>
        <w:t>Tabuľka č.</w:t>
      </w:r>
      <w:r>
        <w:rPr>
          <w:rFonts w:eastAsiaTheme="minorHAnsi" w:cstheme="minorBidi"/>
          <w:lang w:eastAsia="en-US"/>
        </w:rPr>
        <w:t xml:space="preserve"> 11</w:t>
      </w:r>
      <w:r w:rsidRPr="00F02CDA">
        <w:rPr>
          <w:rFonts w:eastAsiaTheme="minorHAnsi" w:cstheme="minorBidi"/>
          <w:lang w:eastAsia="en-US"/>
        </w:rPr>
        <w:t>: Štatistické údaje o oznámených kontrolách</w:t>
      </w:r>
      <w:r>
        <w:rPr>
          <w:rFonts w:eastAsiaTheme="minorHAnsi" w:cstheme="minorBidi"/>
          <w:lang w:eastAsia="en-US"/>
        </w:rPr>
        <w:t xml:space="preserve"> </w:t>
      </w:r>
      <w:r w:rsidRPr="00F02CDA">
        <w:rPr>
          <w:rFonts w:eastAsiaTheme="minorHAnsi" w:cstheme="minorBidi"/>
          <w:lang w:eastAsia="en-US"/>
        </w:rPr>
        <w:t>vykonávaných</w:t>
      </w:r>
      <w:r>
        <w:rPr>
          <w:rFonts w:eastAsiaTheme="minorHAnsi" w:cstheme="minorBidi"/>
          <w:lang w:eastAsia="en-US"/>
        </w:rPr>
        <w:t xml:space="preserve"> </w:t>
      </w:r>
      <w:r w:rsidRPr="00F02CDA">
        <w:rPr>
          <w:rFonts w:eastAsiaTheme="minorHAnsi" w:cstheme="minorBidi"/>
          <w:lang w:eastAsia="en-US"/>
        </w:rPr>
        <w:t>NBS a MF SR v roku 2014</w:t>
      </w:r>
    </w:p>
    <w:tbl>
      <w:tblPr>
        <w:tblStyle w:val="Mriekatabuky1"/>
        <w:tblW w:w="0" w:type="auto"/>
        <w:tblLook w:val="04A0" w:firstRow="1" w:lastRow="0" w:firstColumn="1" w:lastColumn="0" w:noHBand="0" w:noVBand="1"/>
      </w:tblPr>
      <w:tblGrid>
        <w:gridCol w:w="3256"/>
        <w:gridCol w:w="2785"/>
        <w:gridCol w:w="3021"/>
      </w:tblGrid>
      <w:tr w:rsidR="00216BD5" w:rsidRPr="00F02CDA" w14:paraId="40916F94" w14:textId="77777777" w:rsidTr="006703BB">
        <w:trPr>
          <w:trHeight w:val="606"/>
        </w:trPr>
        <w:tc>
          <w:tcPr>
            <w:tcW w:w="3256" w:type="dxa"/>
            <w:shd w:val="clear" w:color="auto" w:fill="FFE599" w:themeFill="accent4" w:themeFillTint="66"/>
            <w:vAlign w:val="center"/>
          </w:tcPr>
          <w:p w14:paraId="7C767A7C" w14:textId="77777777" w:rsidR="00216BD5" w:rsidRPr="00F02CDA" w:rsidRDefault="00216BD5" w:rsidP="006703BB">
            <w:pPr>
              <w:jc w:val="center"/>
              <w:rPr>
                <w:rFonts w:eastAsiaTheme="minorHAnsi" w:cstheme="minorBidi"/>
                <w:b/>
                <w:sz w:val="28"/>
                <w:szCs w:val="28"/>
                <w:lang w:eastAsia="en-US"/>
              </w:rPr>
            </w:pPr>
            <w:r w:rsidRPr="00F02CDA">
              <w:rPr>
                <w:rFonts w:eastAsiaTheme="minorHAnsi" w:cstheme="minorBidi"/>
                <w:b/>
                <w:sz w:val="28"/>
                <w:szCs w:val="28"/>
                <w:lang w:eastAsia="en-US"/>
              </w:rPr>
              <w:t>Kontrolný orgán</w:t>
            </w:r>
          </w:p>
        </w:tc>
        <w:tc>
          <w:tcPr>
            <w:tcW w:w="2785" w:type="dxa"/>
            <w:shd w:val="clear" w:color="auto" w:fill="FFE599" w:themeFill="accent4" w:themeFillTint="66"/>
            <w:vAlign w:val="center"/>
          </w:tcPr>
          <w:p w14:paraId="6845E79F" w14:textId="77777777" w:rsidR="00216BD5" w:rsidRPr="00F02CDA" w:rsidRDefault="00216BD5" w:rsidP="006703BB">
            <w:pPr>
              <w:jc w:val="center"/>
              <w:rPr>
                <w:rFonts w:eastAsiaTheme="minorHAnsi" w:cstheme="minorBidi"/>
                <w:b/>
                <w:sz w:val="28"/>
                <w:szCs w:val="28"/>
                <w:lang w:eastAsia="en-US"/>
              </w:rPr>
            </w:pPr>
            <w:r w:rsidRPr="00F02CDA">
              <w:rPr>
                <w:rFonts w:eastAsiaTheme="minorHAnsi" w:cstheme="minorBidi"/>
                <w:b/>
                <w:sz w:val="28"/>
                <w:szCs w:val="28"/>
                <w:lang w:eastAsia="en-US"/>
              </w:rPr>
              <w:t>NBS</w:t>
            </w:r>
          </w:p>
        </w:tc>
        <w:tc>
          <w:tcPr>
            <w:tcW w:w="3021" w:type="dxa"/>
            <w:shd w:val="clear" w:color="auto" w:fill="FFE599" w:themeFill="accent4" w:themeFillTint="66"/>
            <w:vAlign w:val="center"/>
          </w:tcPr>
          <w:p w14:paraId="5CD3B346" w14:textId="77777777" w:rsidR="00216BD5" w:rsidRPr="00F02CDA" w:rsidRDefault="00216BD5" w:rsidP="006703BB">
            <w:pPr>
              <w:jc w:val="center"/>
              <w:rPr>
                <w:rFonts w:eastAsiaTheme="minorHAnsi" w:cstheme="minorBidi"/>
                <w:b/>
                <w:sz w:val="28"/>
                <w:szCs w:val="28"/>
                <w:lang w:eastAsia="en-US"/>
              </w:rPr>
            </w:pPr>
            <w:r w:rsidRPr="00F02CDA">
              <w:rPr>
                <w:rFonts w:eastAsiaTheme="minorHAnsi" w:cstheme="minorBidi"/>
                <w:b/>
                <w:sz w:val="28"/>
                <w:szCs w:val="28"/>
                <w:lang w:eastAsia="en-US"/>
              </w:rPr>
              <w:t>MF SR</w:t>
            </w:r>
          </w:p>
        </w:tc>
      </w:tr>
      <w:tr w:rsidR="00216BD5" w:rsidRPr="00F02CDA" w14:paraId="32325E45" w14:textId="77777777" w:rsidTr="006703BB">
        <w:tc>
          <w:tcPr>
            <w:tcW w:w="3256" w:type="dxa"/>
            <w:tcBorders>
              <w:bottom w:val="single" w:sz="4" w:space="0" w:color="auto"/>
            </w:tcBorders>
            <w:shd w:val="clear" w:color="auto" w:fill="FBE4D5" w:themeFill="accent2" w:themeFillTint="33"/>
          </w:tcPr>
          <w:p w14:paraId="267250DE" w14:textId="77777777" w:rsidR="00216BD5" w:rsidRPr="00F02CDA" w:rsidRDefault="00216BD5" w:rsidP="006703BB">
            <w:pPr>
              <w:rPr>
                <w:rFonts w:eastAsiaTheme="minorHAnsi" w:cstheme="minorBidi"/>
                <w:sz w:val="24"/>
                <w:szCs w:val="24"/>
                <w:lang w:eastAsia="en-US"/>
              </w:rPr>
            </w:pPr>
            <w:r w:rsidRPr="00F02CDA">
              <w:rPr>
                <w:rFonts w:eastAsiaTheme="minorHAnsi" w:cstheme="minorBidi"/>
                <w:sz w:val="24"/>
                <w:szCs w:val="24"/>
                <w:lang w:eastAsia="en-US"/>
              </w:rPr>
              <w:t>Počet oznámení na FSJ o začatí kontroly</w:t>
            </w:r>
          </w:p>
        </w:tc>
        <w:tc>
          <w:tcPr>
            <w:tcW w:w="2785" w:type="dxa"/>
            <w:tcBorders>
              <w:bottom w:val="single" w:sz="4" w:space="0" w:color="auto"/>
            </w:tcBorders>
            <w:shd w:val="clear" w:color="auto" w:fill="FBE4D5" w:themeFill="accent2" w:themeFillTint="33"/>
            <w:vAlign w:val="center"/>
          </w:tcPr>
          <w:p w14:paraId="0A950ECC" w14:textId="77777777" w:rsidR="00216BD5" w:rsidRPr="00F02CDA" w:rsidRDefault="00216BD5" w:rsidP="006703BB">
            <w:pPr>
              <w:jc w:val="center"/>
              <w:rPr>
                <w:rFonts w:eastAsiaTheme="minorHAnsi" w:cstheme="minorBidi"/>
                <w:sz w:val="24"/>
                <w:szCs w:val="24"/>
                <w:lang w:eastAsia="en-US"/>
              </w:rPr>
            </w:pPr>
            <w:r w:rsidRPr="00F02CDA">
              <w:rPr>
                <w:rFonts w:eastAsiaTheme="minorHAnsi" w:cstheme="minorBidi"/>
                <w:sz w:val="24"/>
                <w:szCs w:val="24"/>
                <w:lang w:eastAsia="en-US"/>
              </w:rPr>
              <w:t>16</w:t>
            </w:r>
          </w:p>
        </w:tc>
        <w:tc>
          <w:tcPr>
            <w:tcW w:w="3021" w:type="dxa"/>
            <w:tcBorders>
              <w:bottom w:val="single" w:sz="4" w:space="0" w:color="auto"/>
            </w:tcBorders>
            <w:shd w:val="clear" w:color="auto" w:fill="FBE4D5" w:themeFill="accent2" w:themeFillTint="33"/>
            <w:vAlign w:val="center"/>
          </w:tcPr>
          <w:p w14:paraId="136559CA" w14:textId="77777777" w:rsidR="00216BD5" w:rsidRPr="00F02CDA" w:rsidRDefault="00216BD5" w:rsidP="006703BB">
            <w:pPr>
              <w:jc w:val="center"/>
              <w:rPr>
                <w:rFonts w:eastAsiaTheme="minorHAnsi" w:cstheme="minorBidi"/>
                <w:sz w:val="24"/>
                <w:szCs w:val="24"/>
                <w:lang w:eastAsia="en-US"/>
              </w:rPr>
            </w:pPr>
            <w:r w:rsidRPr="00F02CDA">
              <w:rPr>
                <w:rFonts w:eastAsiaTheme="minorHAnsi" w:cstheme="minorBidi"/>
                <w:sz w:val="24"/>
                <w:szCs w:val="24"/>
                <w:lang w:eastAsia="en-US"/>
              </w:rPr>
              <w:t>2</w:t>
            </w:r>
          </w:p>
        </w:tc>
      </w:tr>
      <w:tr w:rsidR="00216BD5" w:rsidRPr="00F02CDA" w14:paraId="4DD1A11E" w14:textId="77777777" w:rsidTr="006703BB">
        <w:tc>
          <w:tcPr>
            <w:tcW w:w="3256" w:type="dxa"/>
            <w:tcBorders>
              <w:bottom w:val="single" w:sz="4" w:space="0" w:color="auto"/>
            </w:tcBorders>
            <w:shd w:val="clear" w:color="auto" w:fill="FBE4D5" w:themeFill="accent2" w:themeFillTint="33"/>
          </w:tcPr>
          <w:p w14:paraId="51574645" w14:textId="77777777" w:rsidR="00216BD5" w:rsidRPr="00F02CDA" w:rsidRDefault="00216BD5" w:rsidP="006703BB">
            <w:pPr>
              <w:rPr>
                <w:rFonts w:eastAsiaTheme="minorHAnsi" w:cstheme="minorBidi"/>
                <w:sz w:val="24"/>
                <w:szCs w:val="24"/>
                <w:lang w:eastAsia="en-US"/>
              </w:rPr>
            </w:pPr>
            <w:r w:rsidRPr="00F02CDA">
              <w:rPr>
                <w:rFonts w:eastAsiaTheme="minorHAnsi" w:cstheme="minorBidi"/>
                <w:sz w:val="24"/>
                <w:szCs w:val="24"/>
                <w:lang w:eastAsia="en-US"/>
              </w:rPr>
              <w:t>Počet oznámení na FSJ o výsledkoch</w:t>
            </w:r>
            <w:r>
              <w:rPr>
                <w:rFonts w:eastAsiaTheme="minorHAnsi" w:cstheme="minorBidi"/>
                <w:sz w:val="24"/>
                <w:szCs w:val="24"/>
                <w:lang w:eastAsia="en-US"/>
              </w:rPr>
              <w:t xml:space="preserve"> </w:t>
            </w:r>
            <w:r w:rsidRPr="00F02CDA">
              <w:rPr>
                <w:rFonts w:eastAsiaTheme="minorHAnsi" w:cstheme="minorBidi"/>
                <w:sz w:val="24"/>
                <w:szCs w:val="24"/>
                <w:lang w:eastAsia="en-US"/>
              </w:rPr>
              <w:t xml:space="preserve">kontroly </w:t>
            </w:r>
          </w:p>
        </w:tc>
        <w:tc>
          <w:tcPr>
            <w:tcW w:w="2785" w:type="dxa"/>
            <w:tcBorders>
              <w:bottom w:val="single" w:sz="4" w:space="0" w:color="auto"/>
            </w:tcBorders>
            <w:shd w:val="clear" w:color="auto" w:fill="FBE4D5" w:themeFill="accent2" w:themeFillTint="33"/>
            <w:vAlign w:val="center"/>
          </w:tcPr>
          <w:p w14:paraId="1C2FB0AA" w14:textId="77777777" w:rsidR="00216BD5" w:rsidRPr="00F02CDA" w:rsidRDefault="00216BD5" w:rsidP="006703BB">
            <w:pPr>
              <w:jc w:val="center"/>
              <w:rPr>
                <w:rFonts w:eastAsiaTheme="minorHAnsi" w:cstheme="minorBidi"/>
                <w:sz w:val="24"/>
                <w:szCs w:val="24"/>
                <w:lang w:eastAsia="en-US"/>
              </w:rPr>
            </w:pPr>
            <w:r w:rsidRPr="00F02CDA">
              <w:rPr>
                <w:rFonts w:eastAsiaTheme="minorHAnsi" w:cstheme="minorBidi"/>
                <w:sz w:val="24"/>
                <w:szCs w:val="24"/>
                <w:lang w:eastAsia="en-US"/>
              </w:rPr>
              <w:t>7</w:t>
            </w:r>
          </w:p>
        </w:tc>
        <w:tc>
          <w:tcPr>
            <w:tcW w:w="3021" w:type="dxa"/>
            <w:tcBorders>
              <w:bottom w:val="single" w:sz="4" w:space="0" w:color="auto"/>
            </w:tcBorders>
            <w:shd w:val="clear" w:color="auto" w:fill="FBE4D5" w:themeFill="accent2" w:themeFillTint="33"/>
            <w:vAlign w:val="center"/>
          </w:tcPr>
          <w:p w14:paraId="6C993D4D" w14:textId="77777777" w:rsidR="00216BD5" w:rsidRPr="00F02CDA" w:rsidRDefault="00216BD5" w:rsidP="006703BB">
            <w:pPr>
              <w:jc w:val="center"/>
              <w:rPr>
                <w:rFonts w:eastAsiaTheme="minorHAnsi" w:cstheme="minorBidi"/>
                <w:sz w:val="24"/>
                <w:szCs w:val="24"/>
                <w:lang w:eastAsia="en-US"/>
              </w:rPr>
            </w:pPr>
            <w:r w:rsidRPr="00F02CDA">
              <w:rPr>
                <w:rFonts w:eastAsiaTheme="minorHAnsi" w:cstheme="minorBidi"/>
                <w:sz w:val="24"/>
                <w:szCs w:val="24"/>
                <w:lang w:eastAsia="en-US"/>
              </w:rPr>
              <w:t>0</w:t>
            </w:r>
          </w:p>
        </w:tc>
      </w:tr>
    </w:tbl>
    <w:p w14:paraId="7E1ED62F" w14:textId="77777777" w:rsidR="00216BD5" w:rsidRDefault="00216BD5" w:rsidP="00216BD5">
      <w:pPr>
        <w:spacing w:after="120"/>
        <w:rPr>
          <w:rFonts w:eastAsiaTheme="minorHAnsi" w:cstheme="minorBidi"/>
          <w:sz w:val="24"/>
          <w:szCs w:val="24"/>
          <w:lang w:eastAsia="en-US"/>
        </w:rPr>
      </w:pPr>
      <w:r w:rsidRPr="00F02CDA">
        <w:rPr>
          <w:rFonts w:eastAsiaTheme="minorHAnsi" w:cstheme="minorBidi"/>
          <w:sz w:val="24"/>
          <w:szCs w:val="24"/>
          <w:lang w:eastAsia="en-US"/>
        </w:rPr>
        <w:tab/>
      </w:r>
    </w:p>
    <w:p w14:paraId="000BC48F" w14:textId="77777777" w:rsidR="00216BD5" w:rsidRPr="00F02CDA"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lastRenderedPageBreak/>
        <w:tab/>
      </w:r>
      <w:r w:rsidRPr="00F02CDA">
        <w:rPr>
          <w:rFonts w:eastAsiaTheme="minorHAnsi" w:cstheme="minorBidi"/>
          <w:sz w:val="24"/>
          <w:szCs w:val="24"/>
          <w:lang w:eastAsia="en-US"/>
        </w:rPr>
        <w:t>Na základe vzájomnej dohody môže oddelenie kontroly povinných osôb</w:t>
      </w:r>
      <w:r>
        <w:rPr>
          <w:rFonts w:eastAsiaTheme="minorHAnsi" w:cstheme="minorBidi"/>
          <w:sz w:val="24"/>
          <w:szCs w:val="24"/>
          <w:lang w:eastAsia="en-US"/>
        </w:rPr>
        <w:t xml:space="preserve"> </w:t>
      </w:r>
      <w:r w:rsidRPr="00F02CDA">
        <w:rPr>
          <w:rFonts w:eastAsiaTheme="minorHAnsi" w:cstheme="minorBidi"/>
          <w:sz w:val="24"/>
          <w:szCs w:val="24"/>
          <w:lang w:eastAsia="en-US"/>
        </w:rPr>
        <w:t xml:space="preserve">vykonávať u povinnej osoby kontrolu povinností vyplývajúcich zo zákona </w:t>
      </w:r>
      <w:r>
        <w:rPr>
          <w:rFonts w:eastAsiaTheme="minorHAnsi" w:cstheme="minorBidi"/>
          <w:sz w:val="24"/>
          <w:szCs w:val="24"/>
          <w:lang w:eastAsia="en-US"/>
        </w:rPr>
        <w:t xml:space="preserve"> </w:t>
      </w:r>
      <w:r w:rsidRPr="00F02CDA">
        <w:rPr>
          <w:rFonts w:eastAsiaTheme="minorHAnsi" w:cstheme="minorBidi"/>
          <w:sz w:val="24"/>
          <w:szCs w:val="24"/>
          <w:lang w:eastAsia="en-US"/>
        </w:rPr>
        <w:t xml:space="preserve">o ochrane pred legalizáciou spoločne s NBS alebo MF SR. V roku 2014 takáto spoločná kontrola nebola uskutočnená. </w:t>
      </w:r>
    </w:p>
    <w:p w14:paraId="5E80629C" w14:textId="77777777" w:rsidR="00216BD5" w:rsidRPr="00F02CDA" w:rsidRDefault="00216BD5" w:rsidP="00216BD5">
      <w:pPr>
        <w:spacing w:after="120"/>
        <w:rPr>
          <w:rFonts w:eastAsiaTheme="minorHAnsi" w:cstheme="minorBidi"/>
          <w:sz w:val="24"/>
          <w:szCs w:val="24"/>
          <w:lang w:eastAsia="en-US"/>
        </w:rPr>
      </w:pPr>
      <w:r w:rsidRPr="00F02CDA">
        <w:rPr>
          <w:rFonts w:eastAsiaTheme="minorHAnsi" w:cstheme="minorBidi"/>
          <w:sz w:val="24"/>
          <w:szCs w:val="24"/>
          <w:lang w:eastAsia="en-US"/>
        </w:rPr>
        <w:tab/>
        <w:t>Oddelenie kontroly povinných osôb v rámci</w:t>
      </w:r>
      <w:r>
        <w:rPr>
          <w:rFonts w:eastAsiaTheme="minorHAnsi" w:cstheme="minorBidi"/>
          <w:sz w:val="24"/>
          <w:szCs w:val="24"/>
          <w:lang w:eastAsia="en-US"/>
        </w:rPr>
        <w:t xml:space="preserve"> </w:t>
      </w:r>
      <w:r w:rsidRPr="00F02CDA">
        <w:rPr>
          <w:rFonts w:eastAsiaTheme="minorHAnsi" w:cstheme="minorBidi"/>
          <w:sz w:val="24"/>
          <w:szCs w:val="24"/>
          <w:lang w:eastAsia="en-US"/>
        </w:rPr>
        <w:t>svojej činnosti organizuje a zúčastňuje</w:t>
      </w:r>
      <w:r>
        <w:rPr>
          <w:rFonts w:eastAsiaTheme="minorHAnsi" w:cstheme="minorBidi"/>
          <w:sz w:val="24"/>
          <w:szCs w:val="24"/>
          <w:lang w:eastAsia="en-US"/>
        </w:rPr>
        <w:t xml:space="preserve"> sa rôznych školení, konzultácií</w:t>
      </w:r>
      <w:r w:rsidRPr="00F02CDA">
        <w:rPr>
          <w:rFonts w:eastAsiaTheme="minorHAnsi" w:cstheme="minorBidi"/>
          <w:sz w:val="24"/>
          <w:szCs w:val="24"/>
          <w:lang w:eastAsia="en-US"/>
        </w:rPr>
        <w:t xml:space="preserve">, či rokovaní zameraných na mnohé aplikačné problémy, ktoré sa v súvislosti s plnením úloh </w:t>
      </w:r>
      <w:r>
        <w:rPr>
          <w:rFonts w:eastAsiaTheme="minorHAnsi" w:cstheme="minorBidi"/>
          <w:sz w:val="24"/>
          <w:szCs w:val="24"/>
          <w:lang w:eastAsia="en-US"/>
        </w:rPr>
        <w:t>podľa</w:t>
      </w:r>
      <w:r w:rsidRPr="00F02CDA">
        <w:rPr>
          <w:rFonts w:eastAsiaTheme="minorHAnsi" w:cstheme="minorBidi"/>
          <w:sz w:val="24"/>
          <w:szCs w:val="24"/>
          <w:lang w:eastAsia="en-US"/>
        </w:rPr>
        <w:t xml:space="preserve"> daného zákona</w:t>
      </w:r>
      <w:r>
        <w:rPr>
          <w:rFonts w:eastAsiaTheme="minorHAnsi" w:cstheme="minorBidi"/>
          <w:sz w:val="24"/>
          <w:szCs w:val="24"/>
          <w:lang w:eastAsia="en-US"/>
        </w:rPr>
        <w:t xml:space="preserve"> </w:t>
      </w:r>
      <w:r w:rsidRPr="00F02CDA">
        <w:rPr>
          <w:rFonts w:eastAsiaTheme="minorHAnsi" w:cstheme="minorBidi"/>
          <w:sz w:val="24"/>
          <w:szCs w:val="24"/>
          <w:lang w:eastAsia="en-US"/>
        </w:rPr>
        <w:t>o ochrane pred legalizáciou vyskytujú. Oddelenie poskytuje konkrétne stanoviská a usmernenia k jednotlivým aplikačným problémom a to prevažne</w:t>
      </w:r>
      <w:r>
        <w:rPr>
          <w:rFonts w:eastAsiaTheme="minorHAnsi" w:cstheme="minorBidi"/>
          <w:sz w:val="24"/>
          <w:szCs w:val="24"/>
          <w:lang w:eastAsia="en-US"/>
        </w:rPr>
        <w:t xml:space="preserve"> </w:t>
      </w:r>
      <w:r w:rsidRPr="00F02CDA">
        <w:rPr>
          <w:rFonts w:eastAsiaTheme="minorHAnsi" w:cstheme="minorBidi"/>
          <w:sz w:val="24"/>
          <w:szCs w:val="24"/>
          <w:lang w:eastAsia="en-US"/>
        </w:rPr>
        <w:t xml:space="preserve">na základe žiadosti profesijných organizácií a združení povinných osôb. </w:t>
      </w:r>
    </w:p>
    <w:p w14:paraId="7E53F182" w14:textId="77777777" w:rsidR="00216BD5" w:rsidRPr="00F02CDA" w:rsidRDefault="00216BD5" w:rsidP="00216BD5">
      <w:pPr>
        <w:spacing w:after="120"/>
        <w:rPr>
          <w:rFonts w:eastAsiaTheme="minorHAnsi" w:cstheme="minorBidi"/>
          <w:sz w:val="24"/>
          <w:szCs w:val="24"/>
          <w:lang w:eastAsia="en-US"/>
        </w:rPr>
      </w:pPr>
      <w:r w:rsidRPr="00F02CDA">
        <w:rPr>
          <w:rFonts w:eastAsiaTheme="minorHAnsi" w:cstheme="minorBidi"/>
          <w:sz w:val="24"/>
          <w:szCs w:val="24"/>
          <w:lang w:eastAsia="en-US"/>
        </w:rPr>
        <w:tab/>
        <w:t>V roku 2014 boli takéto aktivity realizované oddelením kontroly povinných osôb</w:t>
      </w:r>
      <w:r>
        <w:rPr>
          <w:rFonts w:eastAsiaTheme="minorHAnsi" w:cstheme="minorBidi"/>
          <w:sz w:val="24"/>
          <w:szCs w:val="24"/>
          <w:lang w:eastAsia="en-US"/>
        </w:rPr>
        <w:t xml:space="preserve"> </w:t>
      </w:r>
      <w:r w:rsidRPr="00F02CDA">
        <w:rPr>
          <w:rFonts w:eastAsiaTheme="minorHAnsi" w:cstheme="minorBidi"/>
          <w:sz w:val="24"/>
          <w:szCs w:val="24"/>
          <w:lang w:eastAsia="en-US"/>
        </w:rPr>
        <w:t>celkovo v 11 prípadoch, ktoré sa týkali školení a poskytnutia stanovísk, konzultácií či</w:t>
      </w:r>
      <w:r>
        <w:rPr>
          <w:rFonts w:eastAsiaTheme="minorHAnsi" w:cstheme="minorBidi"/>
          <w:sz w:val="24"/>
          <w:szCs w:val="24"/>
          <w:lang w:eastAsia="en-US"/>
        </w:rPr>
        <w:t> </w:t>
      </w:r>
      <w:r w:rsidRPr="00F02CDA">
        <w:rPr>
          <w:rFonts w:eastAsiaTheme="minorHAnsi" w:cstheme="minorBidi"/>
          <w:sz w:val="24"/>
          <w:szCs w:val="24"/>
          <w:lang w:eastAsia="en-US"/>
        </w:rPr>
        <w:t>výkladov k jednotlivým ustanoveniam zákona. Tieto boli v uvedenom období poskytnuté najmä bankám a</w:t>
      </w:r>
      <w:r>
        <w:rPr>
          <w:rFonts w:eastAsiaTheme="minorHAnsi" w:cstheme="minorBidi"/>
          <w:sz w:val="24"/>
          <w:szCs w:val="24"/>
          <w:lang w:eastAsia="en-US"/>
        </w:rPr>
        <w:t> ostatným finančným inštitúciám</w:t>
      </w:r>
      <w:r w:rsidRPr="00F02CDA">
        <w:rPr>
          <w:rFonts w:eastAsiaTheme="minorHAnsi" w:cstheme="minorBidi"/>
          <w:sz w:val="24"/>
          <w:szCs w:val="24"/>
          <w:lang w:eastAsia="en-US"/>
        </w:rPr>
        <w:t xml:space="preserve"> ako je Asociácia finančných sprostredkovateľov a finančných poradc</w:t>
      </w:r>
      <w:r>
        <w:rPr>
          <w:rFonts w:eastAsiaTheme="minorHAnsi" w:cstheme="minorBidi"/>
          <w:sz w:val="24"/>
          <w:szCs w:val="24"/>
          <w:lang w:eastAsia="en-US"/>
        </w:rPr>
        <w:t>ov, Slovenská banková asociácia a</w:t>
      </w:r>
      <w:r w:rsidRPr="00F02CDA">
        <w:rPr>
          <w:rFonts w:eastAsiaTheme="minorHAnsi" w:cstheme="minorBidi"/>
          <w:sz w:val="24"/>
          <w:szCs w:val="24"/>
          <w:lang w:eastAsia="en-US"/>
        </w:rPr>
        <w:t xml:space="preserve"> poisťovne. </w:t>
      </w:r>
    </w:p>
    <w:p w14:paraId="7564F2D9" w14:textId="77777777" w:rsidR="00216BD5" w:rsidRPr="00F02CDA" w:rsidRDefault="00216BD5" w:rsidP="00216BD5">
      <w:pPr>
        <w:spacing w:after="120"/>
        <w:rPr>
          <w:rFonts w:eastAsiaTheme="minorHAnsi" w:cstheme="minorBidi"/>
          <w:lang w:eastAsia="en-US"/>
        </w:rPr>
      </w:pPr>
    </w:p>
    <w:p w14:paraId="3CC55AF4" w14:textId="77777777" w:rsidR="00216BD5" w:rsidRPr="00F02CDA" w:rsidRDefault="00216BD5" w:rsidP="00216BD5">
      <w:pPr>
        <w:spacing w:after="120"/>
        <w:rPr>
          <w:rFonts w:eastAsiaTheme="minorHAnsi" w:cstheme="minorBidi"/>
          <w:lang w:eastAsia="en-US"/>
        </w:rPr>
      </w:pPr>
      <w:r w:rsidRPr="00F02CDA">
        <w:rPr>
          <w:rFonts w:eastAsiaTheme="minorHAnsi" w:cstheme="minorBidi"/>
          <w:lang w:eastAsia="en-US"/>
        </w:rPr>
        <w:t>Tabuľka č</w:t>
      </w:r>
      <w:r>
        <w:rPr>
          <w:rFonts w:eastAsiaTheme="minorHAnsi" w:cstheme="minorBidi"/>
          <w:lang w:eastAsia="en-US"/>
        </w:rPr>
        <w:t>. 12</w:t>
      </w:r>
      <w:r w:rsidRPr="00F02CDA">
        <w:rPr>
          <w:rFonts w:eastAsiaTheme="minorHAnsi" w:cstheme="minorBidi"/>
          <w:lang w:eastAsia="en-US"/>
        </w:rPr>
        <w:t>: Štatistický prehľad aktivít (školení, rokovaní, konzultácií) vykonaných oddelení</w:t>
      </w:r>
      <w:r>
        <w:rPr>
          <w:rFonts w:eastAsiaTheme="minorHAnsi" w:cstheme="minorBidi"/>
          <w:lang w:eastAsia="en-US"/>
        </w:rPr>
        <w:t xml:space="preserve">m kontroly povinných osôb FSJ v </w:t>
      </w:r>
      <w:r w:rsidRPr="00F02CDA">
        <w:rPr>
          <w:rFonts w:eastAsiaTheme="minorHAnsi" w:cstheme="minorBidi"/>
          <w:lang w:eastAsia="en-US"/>
        </w:rPr>
        <w:t>roku 2014</w:t>
      </w:r>
    </w:p>
    <w:tbl>
      <w:tblPr>
        <w:tblStyle w:val="Mriekatabuky1"/>
        <w:tblW w:w="0" w:type="auto"/>
        <w:tblLook w:val="04A0" w:firstRow="1" w:lastRow="0" w:firstColumn="1" w:lastColumn="0" w:noHBand="0" w:noVBand="1"/>
      </w:tblPr>
      <w:tblGrid>
        <w:gridCol w:w="3539"/>
        <w:gridCol w:w="992"/>
        <w:gridCol w:w="4531"/>
      </w:tblGrid>
      <w:tr w:rsidR="00216BD5" w:rsidRPr="00F02CDA" w14:paraId="7DBB6D5B" w14:textId="77777777" w:rsidTr="006703BB">
        <w:trPr>
          <w:trHeight w:val="1247"/>
        </w:trPr>
        <w:tc>
          <w:tcPr>
            <w:tcW w:w="3539" w:type="dxa"/>
            <w:shd w:val="clear" w:color="auto" w:fill="A8D08D" w:themeFill="accent6" w:themeFillTint="99"/>
            <w:vAlign w:val="center"/>
          </w:tcPr>
          <w:p w14:paraId="7A3F20AC" w14:textId="77777777" w:rsidR="00216BD5" w:rsidRPr="00F02CDA" w:rsidRDefault="00216BD5" w:rsidP="006703BB">
            <w:pPr>
              <w:spacing w:after="120"/>
              <w:jc w:val="center"/>
              <w:rPr>
                <w:rFonts w:eastAsiaTheme="minorHAnsi" w:cstheme="minorBidi"/>
                <w:b/>
                <w:sz w:val="24"/>
                <w:szCs w:val="24"/>
                <w:lang w:eastAsia="en-US"/>
              </w:rPr>
            </w:pPr>
            <w:r w:rsidRPr="00F02CDA">
              <w:rPr>
                <w:rFonts w:eastAsiaTheme="minorHAnsi" w:cstheme="minorBidi"/>
                <w:b/>
                <w:sz w:val="24"/>
                <w:szCs w:val="24"/>
                <w:lang w:eastAsia="en-US"/>
              </w:rPr>
              <w:t>Povinná osoba (profesijné združenie), u ktorej bola</w:t>
            </w:r>
            <w:r>
              <w:rPr>
                <w:rFonts w:eastAsiaTheme="minorHAnsi" w:cstheme="minorBidi"/>
                <w:b/>
                <w:sz w:val="24"/>
                <w:szCs w:val="24"/>
                <w:lang w:eastAsia="en-US"/>
              </w:rPr>
              <w:t xml:space="preserve"> </w:t>
            </w:r>
            <w:r w:rsidRPr="00F02CDA">
              <w:rPr>
                <w:rFonts w:eastAsiaTheme="minorHAnsi" w:cstheme="minorBidi"/>
                <w:b/>
                <w:sz w:val="24"/>
                <w:szCs w:val="24"/>
                <w:lang w:eastAsia="en-US"/>
              </w:rPr>
              <w:t>vykonaná aktivita</w:t>
            </w:r>
          </w:p>
        </w:tc>
        <w:tc>
          <w:tcPr>
            <w:tcW w:w="992" w:type="dxa"/>
            <w:shd w:val="clear" w:color="auto" w:fill="A8D08D" w:themeFill="accent6" w:themeFillTint="99"/>
            <w:vAlign w:val="center"/>
          </w:tcPr>
          <w:p w14:paraId="62D5651D" w14:textId="77777777" w:rsidR="00216BD5" w:rsidRPr="00F02CDA" w:rsidRDefault="00216BD5" w:rsidP="006703BB">
            <w:pPr>
              <w:spacing w:after="120"/>
              <w:jc w:val="center"/>
              <w:rPr>
                <w:rFonts w:eastAsiaTheme="minorHAnsi" w:cstheme="minorBidi"/>
                <w:b/>
                <w:sz w:val="24"/>
                <w:szCs w:val="24"/>
                <w:lang w:eastAsia="en-US"/>
              </w:rPr>
            </w:pPr>
            <w:r w:rsidRPr="00F02CDA">
              <w:rPr>
                <w:rFonts w:eastAsiaTheme="minorHAnsi" w:cstheme="minorBidi"/>
                <w:b/>
                <w:sz w:val="24"/>
                <w:szCs w:val="24"/>
                <w:lang w:eastAsia="en-US"/>
              </w:rPr>
              <w:t>Počet aktivít</w:t>
            </w:r>
          </w:p>
        </w:tc>
        <w:tc>
          <w:tcPr>
            <w:tcW w:w="4531" w:type="dxa"/>
            <w:shd w:val="clear" w:color="auto" w:fill="A8D08D" w:themeFill="accent6" w:themeFillTint="99"/>
            <w:vAlign w:val="center"/>
          </w:tcPr>
          <w:p w14:paraId="2F94E254" w14:textId="77777777" w:rsidR="00216BD5" w:rsidRPr="00F02CDA" w:rsidRDefault="00216BD5" w:rsidP="006703BB">
            <w:pPr>
              <w:spacing w:after="120"/>
              <w:jc w:val="center"/>
              <w:rPr>
                <w:rFonts w:eastAsiaTheme="minorHAnsi" w:cstheme="minorBidi"/>
                <w:b/>
                <w:sz w:val="24"/>
                <w:szCs w:val="24"/>
                <w:lang w:eastAsia="en-US"/>
              </w:rPr>
            </w:pPr>
            <w:r w:rsidRPr="00F02CDA">
              <w:rPr>
                <w:rFonts w:eastAsiaTheme="minorHAnsi" w:cstheme="minorBidi"/>
                <w:b/>
                <w:sz w:val="24"/>
                <w:szCs w:val="24"/>
                <w:lang w:eastAsia="en-US"/>
              </w:rPr>
              <w:t>Predmet školení, rokovaní, konzultácií</w:t>
            </w:r>
          </w:p>
        </w:tc>
      </w:tr>
      <w:tr w:rsidR="00216BD5" w:rsidRPr="00F02CDA" w14:paraId="251BB615" w14:textId="77777777" w:rsidTr="006703BB">
        <w:trPr>
          <w:trHeight w:val="1247"/>
        </w:trPr>
        <w:tc>
          <w:tcPr>
            <w:tcW w:w="3539" w:type="dxa"/>
            <w:shd w:val="clear" w:color="auto" w:fill="E2EFD9" w:themeFill="accent6" w:themeFillTint="33"/>
            <w:vAlign w:val="center"/>
          </w:tcPr>
          <w:p w14:paraId="1A5F28C8" w14:textId="77777777" w:rsidR="00216BD5" w:rsidRPr="00F02CDA" w:rsidRDefault="00216BD5" w:rsidP="006703BB">
            <w:pPr>
              <w:spacing w:after="120"/>
              <w:rPr>
                <w:rFonts w:eastAsiaTheme="minorHAnsi" w:cstheme="minorBidi"/>
                <w:sz w:val="24"/>
                <w:szCs w:val="24"/>
                <w:lang w:eastAsia="en-US"/>
              </w:rPr>
            </w:pPr>
            <w:r w:rsidRPr="00F02CDA">
              <w:rPr>
                <w:rFonts w:eastAsiaTheme="minorHAnsi" w:cstheme="minorBidi"/>
                <w:sz w:val="24"/>
                <w:szCs w:val="24"/>
                <w:lang w:eastAsia="en-US"/>
              </w:rPr>
              <w:t>Banky</w:t>
            </w:r>
          </w:p>
        </w:tc>
        <w:tc>
          <w:tcPr>
            <w:tcW w:w="992" w:type="dxa"/>
            <w:shd w:val="clear" w:color="auto" w:fill="E2EFD9" w:themeFill="accent6" w:themeFillTint="33"/>
            <w:vAlign w:val="center"/>
          </w:tcPr>
          <w:p w14:paraId="4FAC49B6" w14:textId="77777777" w:rsidR="00216BD5" w:rsidRPr="00F02CDA" w:rsidRDefault="00216BD5" w:rsidP="006703BB">
            <w:pPr>
              <w:spacing w:after="120"/>
              <w:jc w:val="center"/>
              <w:rPr>
                <w:rFonts w:eastAsiaTheme="minorHAnsi" w:cstheme="minorBidi"/>
                <w:sz w:val="24"/>
                <w:szCs w:val="24"/>
                <w:lang w:eastAsia="en-US"/>
              </w:rPr>
            </w:pPr>
            <w:r w:rsidRPr="00F02CDA">
              <w:rPr>
                <w:rFonts w:eastAsiaTheme="minorHAnsi" w:cstheme="minorBidi"/>
                <w:sz w:val="24"/>
                <w:szCs w:val="24"/>
                <w:lang w:eastAsia="en-US"/>
              </w:rPr>
              <w:t>5</w:t>
            </w:r>
          </w:p>
        </w:tc>
        <w:tc>
          <w:tcPr>
            <w:tcW w:w="4531" w:type="dxa"/>
            <w:shd w:val="clear" w:color="auto" w:fill="E2EFD9" w:themeFill="accent6" w:themeFillTint="33"/>
            <w:vAlign w:val="center"/>
          </w:tcPr>
          <w:p w14:paraId="1F94A8C8" w14:textId="77777777" w:rsidR="00216BD5" w:rsidRPr="00F02CDA" w:rsidRDefault="00216BD5" w:rsidP="006703BB">
            <w:pPr>
              <w:spacing w:after="120"/>
              <w:rPr>
                <w:rFonts w:eastAsiaTheme="minorHAnsi" w:cstheme="minorBidi"/>
                <w:sz w:val="24"/>
                <w:szCs w:val="24"/>
                <w:lang w:eastAsia="en-US"/>
              </w:rPr>
            </w:pPr>
            <w:r w:rsidRPr="00F02CDA">
              <w:rPr>
                <w:rFonts w:eastAsiaTheme="minorHAnsi" w:cstheme="minorBidi"/>
                <w:sz w:val="24"/>
                <w:szCs w:val="24"/>
                <w:lang w:eastAsia="en-US"/>
              </w:rPr>
              <w:t xml:space="preserve">Aplikačné problémy pri uplatňovaní zákona o ochrane pred legalizáciou, problematika agenta platobných služieb, problematika neoprávneného podnikania v prípade investičnej spoločnosti, spracovávanie hlásení pre FSJ </w:t>
            </w:r>
          </w:p>
        </w:tc>
      </w:tr>
      <w:tr w:rsidR="00216BD5" w:rsidRPr="00F02CDA" w14:paraId="0301EC0E" w14:textId="77777777" w:rsidTr="006703BB">
        <w:trPr>
          <w:trHeight w:val="1247"/>
        </w:trPr>
        <w:tc>
          <w:tcPr>
            <w:tcW w:w="3539" w:type="dxa"/>
            <w:shd w:val="clear" w:color="auto" w:fill="E2EFD9" w:themeFill="accent6" w:themeFillTint="33"/>
            <w:vAlign w:val="center"/>
          </w:tcPr>
          <w:p w14:paraId="33250AA9" w14:textId="77777777" w:rsidR="00216BD5" w:rsidRPr="00F02CDA" w:rsidRDefault="00216BD5" w:rsidP="006703BB">
            <w:pPr>
              <w:spacing w:after="120"/>
              <w:rPr>
                <w:rFonts w:eastAsiaTheme="minorHAnsi" w:cstheme="minorBidi"/>
                <w:sz w:val="24"/>
                <w:szCs w:val="24"/>
                <w:lang w:eastAsia="en-US"/>
              </w:rPr>
            </w:pPr>
            <w:r w:rsidRPr="00F02CDA">
              <w:rPr>
                <w:rFonts w:eastAsiaTheme="minorHAnsi" w:cstheme="minorBidi"/>
                <w:sz w:val="24"/>
                <w:szCs w:val="24"/>
                <w:lang w:eastAsia="en-US"/>
              </w:rPr>
              <w:t>Poisťovňa</w:t>
            </w:r>
          </w:p>
        </w:tc>
        <w:tc>
          <w:tcPr>
            <w:tcW w:w="992" w:type="dxa"/>
            <w:shd w:val="clear" w:color="auto" w:fill="E2EFD9" w:themeFill="accent6" w:themeFillTint="33"/>
            <w:vAlign w:val="center"/>
          </w:tcPr>
          <w:p w14:paraId="2F16D6BA" w14:textId="77777777" w:rsidR="00216BD5" w:rsidRPr="00F02CDA" w:rsidRDefault="00216BD5" w:rsidP="006703BB">
            <w:pPr>
              <w:spacing w:after="120"/>
              <w:jc w:val="center"/>
              <w:rPr>
                <w:rFonts w:eastAsiaTheme="minorHAnsi" w:cstheme="minorBidi"/>
                <w:sz w:val="24"/>
                <w:szCs w:val="24"/>
                <w:lang w:eastAsia="en-US"/>
              </w:rPr>
            </w:pPr>
            <w:r w:rsidRPr="00F02CDA">
              <w:rPr>
                <w:rFonts w:eastAsiaTheme="minorHAnsi" w:cstheme="minorBidi"/>
                <w:sz w:val="24"/>
                <w:szCs w:val="24"/>
                <w:lang w:eastAsia="en-US"/>
              </w:rPr>
              <w:t>1</w:t>
            </w:r>
          </w:p>
        </w:tc>
        <w:tc>
          <w:tcPr>
            <w:tcW w:w="4531" w:type="dxa"/>
            <w:shd w:val="clear" w:color="auto" w:fill="E2EFD9" w:themeFill="accent6" w:themeFillTint="33"/>
            <w:vAlign w:val="center"/>
          </w:tcPr>
          <w:p w14:paraId="1A38758A" w14:textId="77777777" w:rsidR="00216BD5" w:rsidRPr="00F02CDA" w:rsidRDefault="00216BD5" w:rsidP="006703BB">
            <w:pPr>
              <w:spacing w:after="120"/>
              <w:rPr>
                <w:rFonts w:eastAsiaTheme="minorHAnsi" w:cstheme="minorBidi"/>
                <w:sz w:val="24"/>
                <w:szCs w:val="24"/>
                <w:lang w:eastAsia="en-US"/>
              </w:rPr>
            </w:pPr>
            <w:r w:rsidRPr="00F02CDA">
              <w:rPr>
                <w:rFonts w:eastAsiaTheme="minorHAnsi" w:cstheme="minorBidi"/>
                <w:sz w:val="24"/>
                <w:szCs w:val="24"/>
                <w:lang w:eastAsia="en-US"/>
              </w:rPr>
              <w:t>Aplikačné problémy pri uplatňovaní zákona o ochrane pred legalizáciou, usmernenia v oblasti povinností poisťovní</w:t>
            </w:r>
          </w:p>
        </w:tc>
      </w:tr>
      <w:tr w:rsidR="00216BD5" w:rsidRPr="00F02CDA" w14:paraId="5F278CEC" w14:textId="77777777" w:rsidTr="006703BB">
        <w:trPr>
          <w:trHeight w:val="1247"/>
        </w:trPr>
        <w:tc>
          <w:tcPr>
            <w:tcW w:w="3539" w:type="dxa"/>
            <w:shd w:val="clear" w:color="auto" w:fill="E2EFD9" w:themeFill="accent6" w:themeFillTint="33"/>
            <w:vAlign w:val="center"/>
          </w:tcPr>
          <w:p w14:paraId="7BC97C0C" w14:textId="77777777" w:rsidR="00216BD5" w:rsidRPr="00F02CDA" w:rsidRDefault="00216BD5" w:rsidP="006703BB">
            <w:pPr>
              <w:spacing w:after="120"/>
              <w:rPr>
                <w:rFonts w:eastAsiaTheme="minorHAnsi" w:cstheme="minorBidi"/>
                <w:sz w:val="24"/>
                <w:szCs w:val="24"/>
                <w:lang w:eastAsia="en-US"/>
              </w:rPr>
            </w:pPr>
            <w:r w:rsidRPr="00F02CDA">
              <w:rPr>
                <w:rFonts w:eastAsiaTheme="minorHAnsi" w:cstheme="minorBidi"/>
                <w:sz w:val="24"/>
                <w:szCs w:val="24"/>
                <w:lang w:eastAsia="en-US"/>
              </w:rPr>
              <w:t>Slovenská banková asociácia</w:t>
            </w:r>
          </w:p>
        </w:tc>
        <w:tc>
          <w:tcPr>
            <w:tcW w:w="992" w:type="dxa"/>
            <w:shd w:val="clear" w:color="auto" w:fill="E2EFD9" w:themeFill="accent6" w:themeFillTint="33"/>
            <w:vAlign w:val="center"/>
          </w:tcPr>
          <w:p w14:paraId="7BA8C395" w14:textId="77777777" w:rsidR="00216BD5" w:rsidRPr="00F02CDA" w:rsidRDefault="00216BD5" w:rsidP="006703BB">
            <w:pPr>
              <w:spacing w:after="120"/>
              <w:jc w:val="center"/>
              <w:rPr>
                <w:rFonts w:eastAsiaTheme="minorHAnsi" w:cstheme="minorBidi"/>
                <w:sz w:val="24"/>
                <w:szCs w:val="24"/>
                <w:lang w:eastAsia="en-US"/>
              </w:rPr>
            </w:pPr>
            <w:r w:rsidRPr="00F02CDA">
              <w:rPr>
                <w:rFonts w:eastAsiaTheme="minorHAnsi" w:cstheme="minorBidi"/>
                <w:sz w:val="24"/>
                <w:szCs w:val="24"/>
                <w:lang w:eastAsia="en-US"/>
              </w:rPr>
              <w:t>1</w:t>
            </w:r>
          </w:p>
        </w:tc>
        <w:tc>
          <w:tcPr>
            <w:tcW w:w="4531" w:type="dxa"/>
            <w:shd w:val="clear" w:color="auto" w:fill="E2EFD9" w:themeFill="accent6" w:themeFillTint="33"/>
            <w:vAlign w:val="center"/>
          </w:tcPr>
          <w:p w14:paraId="14641934" w14:textId="77777777" w:rsidR="00216BD5" w:rsidRPr="00F02CDA" w:rsidRDefault="00216BD5" w:rsidP="006703BB">
            <w:pPr>
              <w:spacing w:after="120"/>
              <w:rPr>
                <w:rFonts w:eastAsiaTheme="minorHAnsi" w:cstheme="minorBidi"/>
                <w:sz w:val="24"/>
                <w:szCs w:val="24"/>
                <w:lang w:eastAsia="en-US"/>
              </w:rPr>
            </w:pPr>
            <w:r w:rsidRPr="00F02CDA">
              <w:rPr>
                <w:rFonts w:eastAsiaTheme="minorHAnsi" w:cstheme="minorBidi"/>
                <w:sz w:val="24"/>
                <w:szCs w:val="24"/>
                <w:lang w:eastAsia="en-US"/>
              </w:rPr>
              <w:t>Aplikačné problémy pri uplatňovaní zákona o ochrane pred legalizáciou</w:t>
            </w:r>
          </w:p>
        </w:tc>
      </w:tr>
      <w:tr w:rsidR="00216BD5" w:rsidRPr="00F02CDA" w14:paraId="6CA616B5" w14:textId="77777777" w:rsidTr="006703BB">
        <w:trPr>
          <w:trHeight w:val="1247"/>
        </w:trPr>
        <w:tc>
          <w:tcPr>
            <w:tcW w:w="3539" w:type="dxa"/>
            <w:shd w:val="clear" w:color="auto" w:fill="E2EFD9" w:themeFill="accent6" w:themeFillTint="33"/>
            <w:vAlign w:val="center"/>
          </w:tcPr>
          <w:p w14:paraId="0B5619F2" w14:textId="77777777" w:rsidR="00216BD5" w:rsidRPr="00F02CDA" w:rsidRDefault="00216BD5" w:rsidP="006703BB">
            <w:pPr>
              <w:spacing w:after="120"/>
              <w:jc w:val="left"/>
              <w:rPr>
                <w:rFonts w:eastAsiaTheme="minorHAnsi" w:cstheme="minorBidi"/>
                <w:sz w:val="24"/>
                <w:szCs w:val="24"/>
                <w:lang w:eastAsia="en-US"/>
              </w:rPr>
            </w:pPr>
            <w:r w:rsidRPr="00F02CDA">
              <w:rPr>
                <w:rFonts w:eastAsiaTheme="minorHAnsi" w:cstheme="minorBidi"/>
                <w:sz w:val="24"/>
                <w:szCs w:val="24"/>
                <w:lang w:eastAsia="en-US"/>
              </w:rPr>
              <w:t>Asociácia finančných sprostred-kovateľov a finančných poradcov</w:t>
            </w:r>
          </w:p>
        </w:tc>
        <w:tc>
          <w:tcPr>
            <w:tcW w:w="992" w:type="dxa"/>
            <w:shd w:val="clear" w:color="auto" w:fill="E2EFD9" w:themeFill="accent6" w:themeFillTint="33"/>
            <w:vAlign w:val="center"/>
          </w:tcPr>
          <w:p w14:paraId="012E1516" w14:textId="77777777" w:rsidR="00216BD5" w:rsidRPr="00F02CDA" w:rsidRDefault="00216BD5" w:rsidP="006703BB">
            <w:pPr>
              <w:spacing w:after="120"/>
              <w:jc w:val="center"/>
              <w:rPr>
                <w:rFonts w:eastAsiaTheme="minorHAnsi" w:cstheme="minorBidi"/>
                <w:sz w:val="24"/>
                <w:szCs w:val="24"/>
                <w:lang w:eastAsia="en-US"/>
              </w:rPr>
            </w:pPr>
            <w:r w:rsidRPr="00F02CDA">
              <w:rPr>
                <w:rFonts w:eastAsiaTheme="minorHAnsi" w:cstheme="minorBidi"/>
                <w:sz w:val="24"/>
                <w:szCs w:val="24"/>
                <w:lang w:eastAsia="en-US"/>
              </w:rPr>
              <w:t>1</w:t>
            </w:r>
          </w:p>
        </w:tc>
        <w:tc>
          <w:tcPr>
            <w:tcW w:w="4531" w:type="dxa"/>
            <w:shd w:val="clear" w:color="auto" w:fill="E2EFD9" w:themeFill="accent6" w:themeFillTint="33"/>
            <w:vAlign w:val="center"/>
          </w:tcPr>
          <w:p w14:paraId="5FEB9AFF" w14:textId="77777777" w:rsidR="00216BD5" w:rsidRPr="00F02CDA" w:rsidRDefault="00216BD5" w:rsidP="006703BB">
            <w:pPr>
              <w:spacing w:after="120"/>
              <w:rPr>
                <w:rFonts w:eastAsiaTheme="minorHAnsi" w:cstheme="minorBidi"/>
                <w:sz w:val="24"/>
                <w:szCs w:val="24"/>
                <w:lang w:eastAsia="en-US"/>
              </w:rPr>
            </w:pPr>
            <w:r w:rsidRPr="00F02CDA">
              <w:rPr>
                <w:rFonts w:eastAsiaTheme="minorHAnsi" w:cstheme="minorBidi"/>
                <w:sz w:val="24"/>
                <w:szCs w:val="24"/>
                <w:lang w:eastAsia="en-US"/>
              </w:rPr>
              <w:t>Aplikačné problémy pri uplatňovaní zákona o ochrane pred legalizáciou, konzultácie ohľadom programov a starostlivosti</w:t>
            </w:r>
          </w:p>
        </w:tc>
      </w:tr>
      <w:tr w:rsidR="00216BD5" w:rsidRPr="00F02CDA" w14:paraId="7FA0E8D7" w14:textId="77777777" w:rsidTr="006703BB">
        <w:trPr>
          <w:trHeight w:val="1247"/>
        </w:trPr>
        <w:tc>
          <w:tcPr>
            <w:tcW w:w="3539" w:type="dxa"/>
            <w:shd w:val="clear" w:color="auto" w:fill="E2EFD9" w:themeFill="accent6" w:themeFillTint="33"/>
            <w:vAlign w:val="center"/>
          </w:tcPr>
          <w:p w14:paraId="3AC1FC8A" w14:textId="77777777" w:rsidR="00216BD5" w:rsidRPr="00F02CDA" w:rsidRDefault="00216BD5" w:rsidP="006703BB">
            <w:pPr>
              <w:spacing w:after="120"/>
              <w:rPr>
                <w:rFonts w:eastAsiaTheme="minorHAnsi" w:cstheme="minorBidi"/>
                <w:sz w:val="24"/>
                <w:szCs w:val="24"/>
                <w:lang w:eastAsia="en-US"/>
              </w:rPr>
            </w:pPr>
            <w:r w:rsidRPr="00F02CDA">
              <w:rPr>
                <w:rFonts w:eastAsiaTheme="minorHAnsi" w:cstheme="minorBidi"/>
                <w:sz w:val="24"/>
                <w:szCs w:val="24"/>
                <w:lang w:eastAsia="en-US"/>
              </w:rPr>
              <w:t>Inštitút bankového vzdelávania</w:t>
            </w:r>
          </w:p>
        </w:tc>
        <w:tc>
          <w:tcPr>
            <w:tcW w:w="992" w:type="dxa"/>
            <w:shd w:val="clear" w:color="auto" w:fill="E2EFD9" w:themeFill="accent6" w:themeFillTint="33"/>
            <w:vAlign w:val="center"/>
          </w:tcPr>
          <w:p w14:paraId="3F020B6E" w14:textId="77777777" w:rsidR="00216BD5" w:rsidRPr="00F02CDA" w:rsidRDefault="00216BD5" w:rsidP="006703BB">
            <w:pPr>
              <w:spacing w:after="120"/>
              <w:jc w:val="center"/>
              <w:rPr>
                <w:rFonts w:eastAsiaTheme="minorHAnsi" w:cstheme="minorBidi"/>
                <w:sz w:val="24"/>
                <w:szCs w:val="24"/>
                <w:lang w:eastAsia="en-US"/>
              </w:rPr>
            </w:pPr>
            <w:r w:rsidRPr="00F02CDA">
              <w:rPr>
                <w:rFonts w:eastAsiaTheme="minorHAnsi" w:cstheme="minorBidi"/>
                <w:sz w:val="24"/>
                <w:szCs w:val="24"/>
                <w:lang w:eastAsia="en-US"/>
              </w:rPr>
              <w:t>1</w:t>
            </w:r>
          </w:p>
        </w:tc>
        <w:tc>
          <w:tcPr>
            <w:tcW w:w="4531" w:type="dxa"/>
            <w:shd w:val="clear" w:color="auto" w:fill="E2EFD9" w:themeFill="accent6" w:themeFillTint="33"/>
            <w:vAlign w:val="center"/>
          </w:tcPr>
          <w:p w14:paraId="4C7D57DF" w14:textId="77777777" w:rsidR="00216BD5" w:rsidRPr="00F02CDA" w:rsidRDefault="00216BD5" w:rsidP="006703BB">
            <w:pPr>
              <w:spacing w:after="120"/>
              <w:rPr>
                <w:rFonts w:eastAsiaTheme="minorHAnsi" w:cstheme="minorBidi"/>
                <w:sz w:val="24"/>
                <w:szCs w:val="24"/>
                <w:lang w:eastAsia="en-US"/>
              </w:rPr>
            </w:pPr>
            <w:r w:rsidRPr="00F02CDA">
              <w:rPr>
                <w:rFonts w:eastAsiaTheme="minorHAnsi" w:cstheme="minorBidi"/>
                <w:sz w:val="24"/>
                <w:szCs w:val="24"/>
                <w:lang w:eastAsia="en-US"/>
              </w:rPr>
              <w:t>Aplikačné problémy pri uplatňovaní zákona o ochrane pred legalizáciou, školenie k starostlivosti, ku kontrole a k NOO</w:t>
            </w:r>
          </w:p>
        </w:tc>
      </w:tr>
    </w:tbl>
    <w:p w14:paraId="5B117059" w14:textId="77777777" w:rsidR="00216BD5" w:rsidRDefault="00216BD5" w:rsidP="00216BD5">
      <w:pPr>
        <w:spacing w:after="120"/>
        <w:rPr>
          <w:rFonts w:eastAsiaTheme="minorHAnsi" w:cstheme="minorBidi"/>
          <w:sz w:val="24"/>
          <w:szCs w:val="24"/>
          <w:lang w:eastAsia="en-US"/>
        </w:rPr>
      </w:pPr>
    </w:p>
    <w:p w14:paraId="470FE3EB" w14:textId="77777777" w:rsidR="00216BD5" w:rsidRPr="00F02CDA" w:rsidRDefault="00216BD5" w:rsidP="00216BD5">
      <w:pPr>
        <w:spacing w:after="120"/>
        <w:rPr>
          <w:rFonts w:eastAsiaTheme="minorHAnsi" w:cstheme="minorBidi"/>
          <w:sz w:val="24"/>
          <w:szCs w:val="24"/>
          <w:lang w:eastAsia="en-US"/>
        </w:rPr>
      </w:pPr>
      <w:r w:rsidRPr="00F02CDA">
        <w:rPr>
          <w:rFonts w:eastAsiaTheme="minorHAnsi" w:cstheme="minorBidi"/>
          <w:sz w:val="24"/>
          <w:szCs w:val="24"/>
          <w:lang w:eastAsia="en-US"/>
        </w:rPr>
        <w:lastRenderedPageBreak/>
        <w:tab/>
      </w:r>
      <w:r>
        <w:rPr>
          <w:rFonts w:eastAsiaTheme="minorHAnsi" w:cstheme="minorBidi"/>
          <w:sz w:val="24"/>
          <w:szCs w:val="24"/>
          <w:lang w:eastAsia="en-US"/>
        </w:rPr>
        <w:t xml:space="preserve">K činnosti vykonávanej oddelením kontroly povinných osôb, ktorá nebola vyššie kvantifikovaná patrí aj účasť zástupcov oddelenia na </w:t>
      </w:r>
      <w:r w:rsidRPr="00F02CDA">
        <w:rPr>
          <w:rFonts w:eastAsiaTheme="minorHAnsi" w:cstheme="minorBidi"/>
          <w:sz w:val="24"/>
          <w:szCs w:val="24"/>
          <w:lang w:eastAsia="en-US"/>
        </w:rPr>
        <w:t>rokovan</w:t>
      </w:r>
      <w:r>
        <w:rPr>
          <w:rFonts w:eastAsiaTheme="minorHAnsi" w:cstheme="minorBidi"/>
          <w:sz w:val="24"/>
          <w:szCs w:val="24"/>
          <w:lang w:eastAsia="en-US"/>
        </w:rPr>
        <w:t>í</w:t>
      </w:r>
      <w:r w:rsidRPr="00F02CDA">
        <w:rPr>
          <w:rFonts w:eastAsiaTheme="minorHAnsi" w:cstheme="minorBidi"/>
          <w:sz w:val="24"/>
          <w:szCs w:val="24"/>
          <w:lang w:eastAsia="en-US"/>
        </w:rPr>
        <w:t xml:space="preserve"> so zástupcami NBS, ohľadom vzájomnej spolupráce s FSJ pri kontrolách finančných inštitúcií, či týkajúce sa problematiky agentov zahraničných</w:t>
      </w:r>
      <w:r>
        <w:rPr>
          <w:rFonts w:eastAsiaTheme="minorHAnsi" w:cstheme="minorBidi"/>
          <w:sz w:val="24"/>
          <w:szCs w:val="24"/>
          <w:lang w:eastAsia="en-US"/>
        </w:rPr>
        <w:t xml:space="preserve"> </w:t>
      </w:r>
      <w:r w:rsidRPr="00F02CDA">
        <w:rPr>
          <w:rFonts w:eastAsiaTheme="minorHAnsi" w:cstheme="minorBidi"/>
          <w:sz w:val="24"/>
          <w:szCs w:val="24"/>
          <w:lang w:eastAsia="en-US"/>
        </w:rPr>
        <w:t xml:space="preserve">platobných služieb a možností ich zákonného pôsobenia ako povinných osôb v zmysle zákona o ochrane pred legalizáciou. FSJ spolupracuje s NBS na základe Dohody o vzájomnej spolupráci, uzatvorenej medzi NBS a MV SR v roku 2013. </w:t>
      </w:r>
    </w:p>
    <w:p w14:paraId="47A78331" w14:textId="77777777" w:rsidR="00216BD5" w:rsidRPr="007E7F19" w:rsidRDefault="00216BD5" w:rsidP="00216BD5">
      <w:pPr>
        <w:spacing w:after="120"/>
        <w:rPr>
          <w:rFonts w:eastAsiaTheme="minorHAnsi" w:cstheme="minorBidi"/>
          <w:dstrike/>
          <w:sz w:val="24"/>
          <w:szCs w:val="24"/>
          <w:lang w:eastAsia="en-US"/>
        </w:rPr>
      </w:pPr>
      <w:r w:rsidRPr="00F02CDA">
        <w:rPr>
          <w:rFonts w:eastAsiaTheme="minorHAnsi" w:cstheme="minorBidi"/>
          <w:sz w:val="24"/>
          <w:szCs w:val="24"/>
          <w:lang w:eastAsia="en-US"/>
        </w:rPr>
        <w:tab/>
      </w:r>
      <w:r w:rsidRPr="007E7F19">
        <w:rPr>
          <w:rFonts w:eastAsiaTheme="minorHAnsi" w:cstheme="minorBidi"/>
          <w:sz w:val="24"/>
          <w:szCs w:val="24"/>
          <w:lang w:eastAsia="en-US"/>
        </w:rPr>
        <w:t>V rámci ďalšej činnosti oddelenia kontroly povinných osôb v roku 2014 je nutné spomenúť aktivity v oblasti legislatívneho procesu uplatnením konkrétnych pripomienok k</w:t>
      </w:r>
      <w:r>
        <w:rPr>
          <w:rFonts w:eastAsiaTheme="minorHAnsi" w:cstheme="minorBidi"/>
          <w:sz w:val="24"/>
          <w:szCs w:val="24"/>
          <w:lang w:eastAsia="en-US"/>
        </w:rPr>
        <w:t> </w:t>
      </w:r>
      <w:r w:rsidRPr="007E7F19">
        <w:rPr>
          <w:rFonts w:eastAsiaTheme="minorHAnsi" w:cstheme="minorBidi"/>
          <w:sz w:val="24"/>
          <w:szCs w:val="24"/>
          <w:lang w:eastAsia="en-US"/>
        </w:rPr>
        <w:t>návrhu zákona o obchodovaní s emisnými kvótami, zaslanie stanoviska k návrhu nariadenia vlády Slovenskej republiky, ktorým sa ustanovuje spolupráca vnútroštátneho správcu s príslušnými orgánmi a ohlasovanie podozrenia na prípady prania špinavých peňazí, financovania terorizmu alebo inej trestnej činnosti, či rokovania ohľadom pristúpenia FSJ k zmluve o spolupráci a technickej podpore v rámci pilotnej prevádzky medzi obchodnými bankami a Ministerstvom vnútra SR .</w:t>
      </w:r>
    </w:p>
    <w:p w14:paraId="0060B9F5" w14:textId="77777777" w:rsidR="00216BD5" w:rsidRPr="007E7F19" w:rsidRDefault="00216BD5" w:rsidP="00216BD5">
      <w:pPr>
        <w:spacing w:after="120"/>
        <w:rPr>
          <w:rFonts w:eastAsiaTheme="minorHAnsi" w:cstheme="minorBidi"/>
          <w:sz w:val="24"/>
          <w:szCs w:val="24"/>
          <w:lang w:eastAsia="en-US"/>
        </w:rPr>
      </w:pPr>
    </w:p>
    <w:p w14:paraId="19CAA69A" w14:textId="77777777" w:rsidR="00216BD5" w:rsidRPr="006A0299" w:rsidRDefault="00216BD5" w:rsidP="00216BD5">
      <w:pPr>
        <w:pStyle w:val="Nzovkapitoly"/>
        <w:rPr>
          <w:rFonts w:eastAsiaTheme="minorHAnsi"/>
        </w:rPr>
      </w:pPr>
      <w:bookmarkStart w:id="10" w:name="_Toc412466390"/>
      <w:r>
        <w:rPr>
          <w:rFonts w:eastAsiaTheme="minorHAnsi"/>
        </w:rPr>
        <w:t xml:space="preserve">4. </w:t>
      </w:r>
      <w:r w:rsidRPr="006A0299">
        <w:rPr>
          <w:rFonts w:eastAsiaTheme="minorHAnsi"/>
        </w:rPr>
        <w:t>Medzinárodná spolupráca</w:t>
      </w:r>
      <w:bookmarkEnd w:id="10"/>
    </w:p>
    <w:p w14:paraId="0E661713" w14:textId="77777777" w:rsidR="00216BD5" w:rsidRDefault="00216BD5" w:rsidP="00216BD5">
      <w:pPr>
        <w:spacing w:after="120"/>
        <w:rPr>
          <w:rFonts w:eastAsiaTheme="minorHAnsi" w:cstheme="minorBidi"/>
          <w:sz w:val="24"/>
          <w:szCs w:val="24"/>
          <w:lang w:eastAsia="en-US"/>
        </w:rPr>
      </w:pPr>
    </w:p>
    <w:p w14:paraId="7D8FED6D"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Medzinárodná spolupráca je jedným z pilierov činností F</w:t>
      </w:r>
      <w:r>
        <w:rPr>
          <w:rFonts w:eastAsiaTheme="minorHAnsi" w:cstheme="minorBidi"/>
          <w:sz w:val="24"/>
          <w:szCs w:val="24"/>
          <w:lang w:eastAsia="en-US"/>
        </w:rPr>
        <w:t>SJ</w:t>
      </w:r>
      <w:r w:rsidRPr="006A0299">
        <w:rPr>
          <w:rFonts w:eastAsiaTheme="minorHAnsi" w:cstheme="minorBidi"/>
          <w:sz w:val="24"/>
          <w:szCs w:val="24"/>
          <w:lang w:eastAsia="en-US"/>
        </w:rPr>
        <w:t xml:space="preserve">, </w:t>
      </w:r>
      <w:r>
        <w:rPr>
          <w:rFonts w:eastAsiaTheme="minorHAnsi" w:cstheme="minorBidi"/>
          <w:sz w:val="24"/>
          <w:szCs w:val="24"/>
          <w:lang w:eastAsia="en-US"/>
        </w:rPr>
        <w:t>nakoľko</w:t>
      </w:r>
      <w:r w:rsidRPr="006A0299">
        <w:rPr>
          <w:rFonts w:eastAsiaTheme="minorHAnsi" w:cstheme="minorBidi"/>
          <w:sz w:val="24"/>
          <w:szCs w:val="24"/>
          <w:lang w:eastAsia="en-US"/>
        </w:rPr>
        <w:t xml:space="preserve"> odstránením prekážok na vnútornom trhu sa umožnilo nielen zriadenie a rozvoj legálnych podnikateľských subjektov v rámci Európskej únie, ale </w:t>
      </w:r>
      <w:r>
        <w:rPr>
          <w:rFonts w:eastAsiaTheme="minorHAnsi" w:cstheme="minorBidi"/>
          <w:sz w:val="24"/>
          <w:szCs w:val="24"/>
          <w:lang w:eastAsia="en-US"/>
        </w:rPr>
        <w:t>zároveň sa vytvoril priestor</w:t>
      </w:r>
      <w:r w:rsidRPr="006A0299">
        <w:rPr>
          <w:rFonts w:eastAsiaTheme="minorHAnsi" w:cstheme="minorBidi"/>
          <w:sz w:val="24"/>
          <w:szCs w:val="24"/>
          <w:lang w:eastAsia="en-US"/>
        </w:rPr>
        <w:t xml:space="preserve"> na </w:t>
      </w:r>
      <w:r>
        <w:rPr>
          <w:rFonts w:eastAsiaTheme="minorHAnsi" w:cstheme="minorBidi"/>
          <w:sz w:val="24"/>
          <w:szCs w:val="24"/>
          <w:lang w:eastAsia="en-US"/>
        </w:rPr>
        <w:t xml:space="preserve">legalizáciu príjmov z trestnej činnosti </w:t>
      </w:r>
      <w:r w:rsidRPr="006A0299">
        <w:rPr>
          <w:rFonts w:eastAsiaTheme="minorHAnsi" w:cstheme="minorBidi"/>
          <w:sz w:val="24"/>
          <w:szCs w:val="24"/>
          <w:lang w:eastAsia="en-US"/>
        </w:rPr>
        <w:t>a financovanie terorizmu. Páchatelia trestných činov zapojení do</w:t>
      </w:r>
      <w:r>
        <w:rPr>
          <w:rFonts w:eastAsiaTheme="minorHAnsi" w:cstheme="minorBidi"/>
          <w:sz w:val="24"/>
          <w:szCs w:val="24"/>
          <w:lang w:eastAsia="en-US"/>
        </w:rPr>
        <w:t xml:space="preserve"> legalizácie príjmov z trestnej činnosti</w:t>
      </w:r>
      <w:r w:rsidRPr="006A0299">
        <w:rPr>
          <w:rFonts w:eastAsiaTheme="minorHAnsi" w:cstheme="minorBidi"/>
          <w:sz w:val="24"/>
          <w:szCs w:val="24"/>
          <w:lang w:eastAsia="en-US"/>
        </w:rPr>
        <w:t xml:space="preserve"> sa snažia zatajiť alebo zakryť reálnu povahu, zdroj alebo vlastníctvo skutočného majetku a transformovať ho na zdanlivo zákonné príjmy nielen na</w:t>
      </w:r>
      <w:r>
        <w:rPr>
          <w:rFonts w:eastAsiaTheme="minorHAnsi" w:cstheme="minorBidi"/>
          <w:sz w:val="24"/>
          <w:szCs w:val="24"/>
          <w:lang w:eastAsia="en-US"/>
        </w:rPr>
        <w:t> </w:t>
      </w:r>
      <w:r w:rsidRPr="006A0299">
        <w:rPr>
          <w:rFonts w:eastAsiaTheme="minorHAnsi" w:cstheme="minorBidi"/>
          <w:sz w:val="24"/>
          <w:szCs w:val="24"/>
          <w:lang w:eastAsia="en-US"/>
        </w:rPr>
        <w:t xml:space="preserve">národnej úrovni, no čoraz viac aj na medzinárodnej úrovni. </w:t>
      </w:r>
    </w:p>
    <w:p w14:paraId="15946378" w14:textId="77777777" w:rsidR="00216BD5" w:rsidRPr="006A0299"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 xml:space="preserve">Vzhľadom na nadnárodnú povahu trestného činu legalizácie príjmov z trestnej činnosti, si efektívny cezhraničný boj proti </w:t>
      </w:r>
      <w:r>
        <w:rPr>
          <w:rFonts w:eastAsiaTheme="minorHAnsi" w:cstheme="minorBidi"/>
          <w:sz w:val="24"/>
          <w:szCs w:val="24"/>
          <w:lang w:eastAsia="en-US"/>
        </w:rPr>
        <w:t xml:space="preserve">tejto legalizácii </w:t>
      </w:r>
      <w:r w:rsidRPr="006A0299">
        <w:rPr>
          <w:rFonts w:eastAsiaTheme="minorHAnsi" w:cstheme="minorBidi"/>
          <w:sz w:val="24"/>
          <w:szCs w:val="24"/>
          <w:lang w:eastAsia="en-US"/>
        </w:rPr>
        <w:t xml:space="preserve">vyžaduje spoločnú snahu všetkých </w:t>
      </w:r>
      <w:r>
        <w:rPr>
          <w:rFonts w:eastAsiaTheme="minorHAnsi" w:cstheme="minorBidi"/>
          <w:sz w:val="24"/>
          <w:szCs w:val="24"/>
          <w:lang w:eastAsia="en-US"/>
        </w:rPr>
        <w:t>spolupracujúcich subjektov</w:t>
      </w:r>
      <w:r w:rsidRPr="006A0299">
        <w:rPr>
          <w:rFonts w:eastAsiaTheme="minorHAnsi" w:cstheme="minorBidi"/>
          <w:sz w:val="24"/>
          <w:szCs w:val="24"/>
          <w:lang w:eastAsia="en-US"/>
        </w:rPr>
        <w:t xml:space="preserve">. </w:t>
      </w:r>
      <w:r>
        <w:rPr>
          <w:rFonts w:eastAsiaTheme="minorHAnsi" w:cstheme="minorBidi"/>
          <w:sz w:val="24"/>
          <w:szCs w:val="24"/>
          <w:lang w:eastAsia="en-US"/>
        </w:rPr>
        <w:t xml:space="preserve">Aj vďaka vynaloženému úsiliu a činnosti oddelenia medzinárodnej spolupráce je </w:t>
      </w:r>
      <w:r w:rsidRPr="006A0299">
        <w:rPr>
          <w:rFonts w:eastAsiaTheme="minorHAnsi" w:cstheme="minorBidi"/>
          <w:sz w:val="24"/>
          <w:szCs w:val="24"/>
          <w:lang w:eastAsia="en-US"/>
        </w:rPr>
        <w:t xml:space="preserve">FSJ </w:t>
      </w:r>
      <w:r>
        <w:rPr>
          <w:rFonts w:eastAsiaTheme="minorHAnsi" w:cstheme="minorBidi"/>
          <w:sz w:val="24"/>
          <w:szCs w:val="24"/>
          <w:lang w:eastAsia="en-US"/>
        </w:rPr>
        <w:t xml:space="preserve">súčasťou  tohto </w:t>
      </w:r>
      <w:r w:rsidRPr="006A0299">
        <w:rPr>
          <w:rFonts w:eastAsiaTheme="minorHAnsi" w:cstheme="minorBidi"/>
          <w:sz w:val="24"/>
          <w:szCs w:val="24"/>
          <w:lang w:eastAsia="en-US"/>
        </w:rPr>
        <w:t>efektívn</w:t>
      </w:r>
      <w:r>
        <w:rPr>
          <w:rFonts w:eastAsiaTheme="minorHAnsi" w:cstheme="minorBidi"/>
          <w:sz w:val="24"/>
          <w:szCs w:val="24"/>
          <w:lang w:eastAsia="en-US"/>
        </w:rPr>
        <w:t>eho boja</w:t>
      </w:r>
      <w:r w:rsidRPr="006A0299">
        <w:rPr>
          <w:rFonts w:eastAsiaTheme="minorHAnsi" w:cstheme="minorBidi"/>
          <w:sz w:val="24"/>
          <w:szCs w:val="24"/>
          <w:lang w:eastAsia="en-US"/>
        </w:rPr>
        <w:t xml:space="preserve"> a</w:t>
      </w:r>
      <w:r>
        <w:rPr>
          <w:rFonts w:eastAsiaTheme="minorHAnsi" w:cstheme="minorBidi"/>
          <w:sz w:val="24"/>
          <w:szCs w:val="24"/>
          <w:lang w:eastAsia="en-US"/>
        </w:rPr>
        <w:t xml:space="preserve"> zohráva </w:t>
      </w:r>
      <w:r w:rsidRPr="006A0299">
        <w:rPr>
          <w:rFonts w:eastAsiaTheme="minorHAnsi" w:cstheme="minorBidi"/>
          <w:sz w:val="24"/>
          <w:szCs w:val="24"/>
          <w:lang w:eastAsia="en-US"/>
        </w:rPr>
        <w:t>neodmysliteľnú úlohu v medzinárodnej oblasti boja proti praniu špinavých peňazí.</w:t>
      </w:r>
      <w:r>
        <w:rPr>
          <w:rFonts w:eastAsiaTheme="minorHAnsi" w:cstheme="minorBidi"/>
          <w:sz w:val="24"/>
          <w:szCs w:val="24"/>
          <w:lang w:eastAsia="en-US"/>
        </w:rPr>
        <w:t xml:space="preserve"> </w:t>
      </w:r>
    </w:p>
    <w:p w14:paraId="78B8BBA5"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 xml:space="preserve">Pre potreby zabezpečenia výmeny spravodajských informácií súvisiacich jednak s preverovanými </w:t>
      </w:r>
      <w:r>
        <w:rPr>
          <w:rFonts w:eastAsiaTheme="minorHAnsi" w:cstheme="minorBidi"/>
          <w:sz w:val="24"/>
          <w:szCs w:val="24"/>
          <w:lang w:eastAsia="en-US"/>
        </w:rPr>
        <w:t>NOO</w:t>
      </w:r>
      <w:r w:rsidRPr="006A0299">
        <w:rPr>
          <w:rFonts w:eastAsiaTheme="minorHAnsi" w:cstheme="minorBidi"/>
          <w:sz w:val="24"/>
          <w:szCs w:val="24"/>
          <w:lang w:eastAsia="en-US"/>
        </w:rPr>
        <w:t xml:space="preserve"> od povinných osôb, ako aj s inou činnosťou FSJ, nie je nutné zo strany FSJ uzatvárať žiadne medzinárodné dohody alebo zmluvy. Avšak na základe požiadaviek zahraničných partnerov, FSJ doteraz podpísala memorandá o porozumení s 8 zahraničnými partnerskými finančnými spravodajskými jednotkami. </w:t>
      </w:r>
    </w:p>
    <w:p w14:paraId="6203ACF7"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V roku 2014 bolo v tejto súvislosti iniciované tiež rokovanie s FIU Panama a Gruzínsko, ktoré oslovili našu jednotku so žiadosťou o uzatvorenie memoranda. V priebehu roka 2014 bolo rokovanie s FIU Panama uzatvorené a momentálne je Memorandum v štádiu pred podpisom. Rovnako sa v priebehu roka 2014 realizovalo rokovanie s FIU Gruzínsko, ktoré je stále v štádiu negociácií.</w:t>
      </w:r>
    </w:p>
    <w:p w14:paraId="420F5B85" w14:textId="77777777" w:rsidR="00216BD5" w:rsidRDefault="00216BD5" w:rsidP="00216BD5">
      <w:pPr>
        <w:spacing w:after="120"/>
        <w:rPr>
          <w:rFonts w:eastAsiaTheme="minorHAnsi" w:cstheme="minorBidi"/>
          <w:lang w:eastAsia="en-US"/>
        </w:rPr>
      </w:pPr>
    </w:p>
    <w:p w14:paraId="6236C459" w14:textId="77777777" w:rsidR="00216BD5" w:rsidRDefault="00216BD5" w:rsidP="00216BD5">
      <w:pPr>
        <w:spacing w:after="120"/>
        <w:rPr>
          <w:rFonts w:eastAsiaTheme="minorHAnsi" w:cstheme="minorBidi"/>
          <w:lang w:eastAsia="en-US"/>
        </w:rPr>
      </w:pPr>
    </w:p>
    <w:p w14:paraId="6A176BA9" w14:textId="77777777" w:rsidR="00216BD5" w:rsidRDefault="00216BD5" w:rsidP="00216BD5">
      <w:pPr>
        <w:spacing w:after="120"/>
        <w:rPr>
          <w:rFonts w:eastAsiaTheme="minorHAnsi" w:cstheme="minorBidi"/>
          <w:lang w:eastAsia="en-US"/>
        </w:rPr>
      </w:pPr>
    </w:p>
    <w:p w14:paraId="1F8A30BA" w14:textId="77777777" w:rsidR="00216BD5" w:rsidRDefault="00216BD5" w:rsidP="00216BD5">
      <w:pPr>
        <w:spacing w:after="120"/>
        <w:rPr>
          <w:rFonts w:eastAsiaTheme="minorHAnsi" w:cstheme="minorBidi"/>
          <w:lang w:eastAsia="en-US"/>
        </w:rPr>
      </w:pPr>
    </w:p>
    <w:p w14:paraId="137C0C7D" w14:textId="77777777" w:rsidR="00216BD5" w:rsidRDefault="00216BD5" w:rsidP="00216BD5">
      <w:pPr>
        <w:spacing w:after="120"/>
        <w:rPr>
          <w:rFonts w:eastAsiaTheme="minorHAnsi" w:cstheme="minorBidi"/>
          <w:lang w:eastAsia="en-US"/>
        </w:rPr>
      </w:pPr>
    </w:p>
    <w:p w14:paraId="18F7E4BD" w14:textId="77777777" w:rsidR="00216BD5" w:rsidRDefault="00216BD5" w:rsidP="00216BD5">
      <w:pPr>
        <w:spacing w:after="120"/>
        <w:rPr>
          <w:rFonts w:eastAsiaTheme="minorHAnsi" w:cstheme="minorBidi"/>
          <w:lang w:eastAsia="en-US"/>
        </w:rPr>
      </w:pPr>
    </w:p>
    <w:p w14:paraId="790EEB84" w14:textId="77777777" w:rsidR="00216BD5" w:rsidRDefault="00216BD5" w:rsidP="00216BD5">
      <w:pPr>
        <w:spacing w:after="120"/>
        <w:rPr>
          <w:rFonts w:eastAsiaTheme="minorHAnsi" w:cstheme="minorBidi"/>
          <w:lang w:eastAsia="en-US"/>
        </w:rPr>
      </w:pPr>
      <w:r w:rsidRPr="00F02CDA">
        <w:rPr>
          <w:rFonts w:eastAsiaTheme="minorHAnsi" w:cstheme="minorBidi"/>
          <w:lang w:eastAsia="en-US"/>
        </w:rPr>
        <w:lastRenderedPageBreak/>
        <w:t>Tabuľka č</w:t>
      </w:r>
      <w:r>
        <w:rPr>
          <w:rFonts w:eastAsiaTheme="minorHAnsi" w:cstheme="minorBidi"/>
          <w:lang w:eastAsia="en-US"/>
        </w:rPr>
        <w:t>. 13: Zoznam memoránd týkajúcich sa medzinárodnej spolupráce FSJ s príslušnými zahraničnými partnerskými FIU</w:t>
      </w:r>
    </w:p>
    <w:p w14:paraId="4C6E2462" w14:textId="77777777" w:rsidR="00216BD5" w:rsidRPr="00343BE9" w:rsidRDefault="00216BD5" w:rsidP="00216BD5">
      <w:pPr>
        <w:rPr>
          <w:rFonts w:eastAsiaTheme="minorHAnsi" w:cstheme="minorBidi"/>
          <w:lang w:eastAsia="en-US"/>
        </w:rPr>
      </w:pPr>
    </w:p>
    <w:tbl>
      <w:tblPr>
        <w:tblStyle w:val="Mriekatabuky"/>
        <w:tblW w:w="9180" w:type="dxa"/>
        <w:tblLayout w:type="fixed"/>
        <w:tblLook w:val="04A0" w:firstRow="1" w:lastRow="0" w:firstColumn="1" w:lastColumn="0" w:noHBand="0" w:noVBand="1"/>
      </w:tblPr>
      <w:tblGrid>
        <w:gridCol w:w="675"/>
        <w:gridCol w:w="7088"/>
        <w:gridCol w:w="1417"/>
      </w:tblGrid>
      <w:tr w:rsidR="00216BD5" w:rsidRPr="004515BF" w14:paraId="1BC43DB4" w14:textId="77777777" w:rsidTr="006703BB">
        <w:trPr>
          <w:trHeight w:val="723"/>
        </w:trPr>
        <w:tc>
          <w:tcPr>
            <w:tcW w:w="675" w:type="dxa"/>
            <w:shd w:val="clear" w:color="auto" w:fill="9CC2E5" w:themeFill="accent1" w:themeFillTint="99"/>
            <w:vAlign w:val="center"/>
          </w:tcPr>
          <w:p w14:paraId="38769FFD" w14:textId="77777777" w:rsidR="00216BD5" w:rsidRPr="00343BE9" w:rsidRDefault="00216BD5" w:rsidP="006703BB">
            <w:pPr>
              <w:rPr>
                <w:rFonts w:eastAsiaTheme="minorHAnsi" w:cstheme="minorBidi"/>
                <w:b/>
                <w:sz w:val="22"/>
                <w:szCs w:val="24"/>
                <w:lang w:eastAsia="en-US"/>
              </w:rPr>
            </w:pPr>
            <w:r w:rsidRPr="00343BE9">
              <w:rPr>
                <w:rFonts w:eastAsiaTheme="minorHAnsi" w:cstheme="minorBidi"/>
                <w:b/>
                <w:sz w:val="22"/>
                <w:szCs w:val="24"/>
                <w:lang w:eastAsia="en-US"/>
              </w:rPr>
              <w:t>Por. číslo</w:t>
            </w:r>
          </w:p>
        </w:tc>
        <w:tc>
          <w:tcPr>
            <w:tcW w:w="7088" w:type="dxa"/>
            <w:shd w:val="clear" w:color="auto" w:fill="9CC2E5" w:themeFill="accent1" w:themeFillTint="99"/>
            <w:vAlign w:val="center"/>
          </w:tcPr>
          <w:p w14:paraId="39E48554" w14:textId="77777777" w:rsidR="00216BD5" w:rsidRPr="00343BE9" w:rsidRDefault="00216BD5" w:rsidP="006703BB">
            <w:pPr>
              <w:jc w:val="center"/>
              <w:rPr>
                <w:rFonts w:eastAsiaTheme="minorHAnsi" w:cstheme="minorBidi"/>
                <w:b/>
                <w:sz w:val="22"/>
                <w:szCs w:val="24"/>
                <w:lang w:eastAsia="en-US"/>
              </w:rPr>
            </w:pPr>
            <w:r w:rsidRPr="00343BE9">
              <w:rPr>
                <w:rFonts w:eastAsiaTheme="minorHAnsi" w:cstheme="minorBidi"/>
                <w:b/>
                <w:sz w:val="22"/>
                <w:szCs w:val="24"/>
                <w:lang w:eastAsia="en-US"/>
              </w:rPr>
              <w:t>Príslušná FIU</w:t>
            </w:r>
          </w:p>
        </w:tc>
        <w:tc>
          <w:tcPr>
            <w:tcW w:w="1417" w:type="dxa"/>
            <w:shd w:val="clear" w:color="auto" w:fill="9CC2E5" w:themeFill="accent1" w:themeFillTint="99"/>
            <w:vAlign w:val="center"/>
          </w:tcPr>
          <w:p w14:paraId="0EDBA7E2" w14:textId="77777777" w:rsidR="00216BD5" w:rsidRPr="00343BE9" w:rsidRDefault="00216BD5" w:rsidP="006703BB">
            <w:pPr>
              <w:jc w:val="center"/>
              <w:rPr>
                <w:rFonts w:eastAsiaTheme="minorHAnsi" w:cstheme="minorBidi"/>
                <w:b/>
                <w:sz w:val="22"/>
                <w:szCs w:val="24"/>
                <w:lang w:eastAsia="en-US"/>
              </w:rPr>
            </w:pPr>
            <w:r w:rsidRPr="00343BE9">
              <w:rPr>
                <w:rFonts w:eastAsiaTheme="minorHAnsi" w:cstheme="minorBidi"/>
                <w:b/>
                <w:sz w:val="22"/>
                <w:szCs w:val="24"/>
                <w:lang w:eastAsia="en-US"/>
              </w:rPr>
              <w:t>Dátum podpisu</w:t>
            </w:r>
          </w:p>
        </w:tc>
      </w:tr>
      <w:tr w:rsidR="00216BD5" w:rsidRPr="004515BF" w14:paraId="5FD5EE0F" w14:textId="77777777" w:rsidTr="006703BB">
        <w:tc>
          <w:tcPr>
            <w:tcW w:w="675" w:type="dxa"/>
            <w:shd w:val="clear" w:color="auto" w:fill="DEEAF6" w:themeFill="accent1" w:themeFillTint="33"/>
            <w:vAlign w:val="center"/>
          </w:tcPr>
          <w:p w14:paraId="527FE97F"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1.</w:t>
            </w:r>
          </w:p>
        </w:tc>
        <w:tc>
          <w:tcPr>
            <w:tcW w:w="7088" w:type="dxa"/>
            <w:shd w:val="clear" w:color="auto" w:fill="DEEAF6" w:themeFill="accent1" w:themeFillTint="33"/>
          </w:tcPr>
          <w:p w14:paraId="102D9571"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 xml:space="preserve">Memorandum o porozumení medzi Úradom finančnej polície SKFP P PZ Slovenskej republiky a adekvátnym kompetentným útvarom </w:t>
            </w:r>
            <w:r w:rsidRPr="004515BF">
              <w:rPr>
                <w:rFonts w:eastAsiaTheme="minorHAnsi" w:cstheme="minorBidi"/>
                <w:b/>
                <w:sz w:val="22"/>
                <w:szCs w:val="24"/>
                <w:lang w:eastAsia="en-US"/>
              </w:rPr>
              <w:t>Belgicka</w:t>
            </w:r>
            <w:r w:rsidRPr="004515BF">
              <w:rPr>
                <w:rFonts w:eastAsiaTheme="minorHAnsi" w:cstheme="minorBidi"/>
                <w:sz w:val="22"/>
                <w:szCs w:val="24"/>
                <w:lang w:eastAsia="en-US"/>
              </w:rPr>
              <w:t>, týkajúce sa vzájomnej spolupráce pri výmene finančného spravodajstva vo vzťahu k praniu špinavých peňazí</w:t>
            </w:r>
          </w:p>
        </w:tc>
        <w:tc>
          <w:tcPr>
            <w:tcW w:w="1417" w:type="dxa"/>
            <w:shd w:val="clear" w:color="auto" w:fill="DEEAF6" w:themeFill="accent1" w:themeFillTint="33"/>
            <w:vAlign w:val="center"/>
          </w:tcPr>
          <w:p w14:paraId="3FCABD88" w14:textId="77777777" w:rsidR="00216BD5" w:rsidRPr="004515BF" w:rsidRDefault="00216BD5" w:rsidP="006703BB">
            <w:pPr>
              <w:jc w:val="center"/>
              <w:rPr>
                <w:rFonts w:eastAsiaTheme="minorHAnsi" w:cstheme="minorBidi"/>
                <w:sz w:val="22"/>
                <w:szCs w:val="24"/>
                <w:lang w:eastAsia="en-US"/>
              </w:rPr>
            </w:pPr>
            <w:r w:rsidRPr="004515BF">
              <w:rPr>
                <w:rFonts w:eastAsiaTheme="minorHAnsi" w:cstheme="minorBidi"/>
                <w:sz w:val="22"/>
                <w:szCs w:val="24"/>
                <w:lang w:eastAsia="en-US"/>
              </w:rPr>
              <w:t>06.06.2000</w:t>
            </w:r>
          </w:p>
        </w:tc>
      </w:tr>
      <w:tr w:rsidR="00216BD5" w:rsidRPr="004515BF" w14:paraId="6077348B" w14:textId="77777777" w:rsidTr="006703BB">
        <w:tc>
          <w:tcPr>
            <w:tcW w:w="675" w:type="dxa"/>
            <w:shd w:val="clear" w:color="auto" w:fill="DEEAF6" w:themeFill="accent1" w:themeFillTint="33"/>
            <w:vAlign w:val="center"/>
          </w:tcPr>
          <w:p w14:paraId="2D1AA59E"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2.</w:t>
            </w:r>
          </w:p>
        </w:tc>
        <w:tc>
          <w:tcPr>
            <w:tcW w:w="7088" w:type="dxa"/>
            <w:shd w:val="clear" w:color="auto" w:fill="DEEAF6" w:themeFill="accent1" w:themeFillTint="33"/>
          </w:tcPr>
          <w:p w14:paraId="72507503"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 xml:space="preserve">Memorandum o porozumení medzi Úradom finančnej polície SKFP P PZ Slovenskej republiky a </w:t>
            </w:r>
            <w:r w:rsidRPr="004515BF">
              <w:rPr>
                <w:rFonts w:eastAsiaTheme="minorHAnsi" w:cstheme="minorBidi"/>
                <w:b/>
                <w:sz w:val="22"/>
                <w:szCs w:val="24"/>
                <w:lang w:eastAsia="en-US"/>
              </w:rPr>
              <w:t>Finančným analytickým útvarom Ministerstva financií Českej republiky</w:t>
            </w:r>
            <w:r w:rsidRPr="004515BF">
              <w:rPr>
                <w:rFonts w:eastAsiaTheme="minorHAnsi" w:cstheme="minorBidi"/>
                <w:sz w:val="22"/>
                <w:szCs w:val="24"/>
                <w:lang w:eastAsia="en-US"/>
              </w:rPr>
              <w:t>, týkajúce sa vzájomnej spolupráce pri výmene finančného spravodajstva vo vzťahu k praniu špinavých peňazí</w:t>
            </w:r>
          </w:p>
        </w:tc>
        <w:tc>
          <w:tcPr>
            <w:tcW w:w="1417" w:type="dxa"/>
            <w:shd w:val="clear" w:color="auto" w:fill="DEEAF6" w:themeFill="accent1" w:themeFillTint="33"/>
            <w:vAlign w:val="center"/>
          </w:tcPr>
          <w:p w14:paraId="13A5F365" w14:textId="77777777" w:rsidR="00216BD5" w:rsidRPr="004515BF" w:rsidRDefault="00216BD5" w:rsidP="006703BB">
            <w:pPr>
              <w:jc w:val="center"/>
              <w:rPr>
                <w:rFonts w:eastAsiaTheme="minorHAnsi" w:cstheme="minorBidi"/>
                <w:sz w:val="22"/>
                <w:szCs w:val="24"/>
                <w:lang w:eastAsia="en-US"/>
              </w:rPr>
            </w:pPr>
            <w:r w:rsidRPr="004515BF">
              <w:rPr>
                <w:rFonts w:eastAsiaTheme="minorHAnsi" w:cstheme="minorBidi"/>
                <w:sz w:val="22"/>
                <w:szCs w:val="24"/>
                <w:lang w:eastAsia="en-US"/>
              </w:rPr>
              <w:t>06.11.2001</w:t>
            </w:r>
          </w:p>
        </w:tc>
      </w:tr>
      <w:tr w:rsidR="00216BD5" w:rsidRPr="004515BF" w14:paraId="2535E6EF" w14:textId="77777777" w:rsidTr="006703BB">
        <w:tc>
          <w:tcPr>
            <w:tcW w:w="675" w:type="dxa"/>
            <w:shd w:val="clear" w:color="auto" w:fill="DEEAF6" w:themeFill="accent1" w:themeFillTint="33"/>
            <w:vAlign w:val="center"/>
          </w:tcPr>
          <w:p w14:paraId="5827A3F1"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3.</w:t>
            </w:r>
          </w:p>
        </w:tc>
        <w:tc>
          <w:tcPr>
            <w:tcW w:w="7088" w:type="dxa"/>
            <w:shd w:val="clear" w:color="auto" w:fill="DEEAF6" w:themeFill="accent1" w:themeFillTint="33"/>
          </w:tcPr>
          <w:p w14:paraId="03C94087"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 xml:space="preserve">Memorandum o porozumení medzi Úradom finančnej polície SKFP P PZ Slovenskej republiky a adekvátnym kompetentným útvarom </w:t>
            </w:r>
            <w:r w:rsidRPr="004515BF">
              <w:rPr>
                <w:rFonts w:eastAsiaTheme="minorHAnsi" w:cstheme="minorBidi"/>
                <w:b/>
                <w:sz w:val="22"/>
                <w:szCs w:val="24"/>
                <w:lang w:eastAsia="en-US"/>
              </w:rPr>
              <w:t>Poľska</w:t>
            </w:r>
            <w:r w:rsidRPr="004515BF">
              <w:rPr>
                <w:rFonts w:eastAsiaTheme="minorHAnsi" w:cstheme="minorBidi"/>
                <w:sz w:val="22"/>
                <w:szCs w:val="24"/>
                <w:lang w:eastAsia="en-US"/>
              </w:rPr>
              <w:t>, týkajúce sa vzájomnej spolupráce pri výmene finančného spravodajstva vo vzťahu k praniu špinavých peňazí</w:t>
            </w:r>
          </w:p>
        </w:tc>
        <w:tc>
          <w:tcPr>
            <w:tcW w:w="1417" w:type="dxa"/>
            <w:shd w:val="clear" w:color="auto" w:fill="DEEAF6" w:themeFill="accent1" w:themeFillTint="33"/>
            <w:vAlign w:val="center"/>
          </w:tcPr>
          <w:p w14:paraId="5ABD24B4" w14:textId="77777777" w:rsidR="00216BD5" w:rsidRPr="004515BF" w:rsidRDefault="00216BD5" w:rsidP="006703BB">
            <w:pPr>
              <w:jc w:val="center"/>
              <w:rPr>
                <w:rFonts w:eastAsiaTheme="minorHAnsi" w:cstheme="minorBidi"/>
                <w:sz w:val="22"/>
                <w:szCs w:val="24"/>
                <w:lang w:eastAsia="en-US"/>
              </w:rPr>
            </w:pPr>
            <w:r w:rsidRPr="004515BF">
              <w:rPr>
                <w:rFonts w:eastAsiaTheme="minorHAnsi" w:cstheme="minorBidi"/>
                <w:sz w:val="22"/>
                <w:szCs w:val="24"/>
                <w:lang w:eastAsia="en-US"/>
              </w:rPr>
              <w:t>23.11.2001</w:t>
            </w:r>
          </w:p>
        </w:tc>
      </w:tr>
      <w:tr w:rsidR="00216BD5" w:rsidRPr="004515BF" w14:paraId="23BB7564" w14:textId="77777777" w:rsidTr="006703BB">
        <w:tc>
          <w:tcPr>
            <w:tcW w:w="675" w:type="dxa"/>
            <w:shd w:val="clear" w:color="auto" w:fill="DEEAF6" w:themeFill="accent1" w:themeFillTint="33"/>
            <w:vAlign w:val="center"/>
          </w:tcPr>
          <w:p w14:paraId="1FE914A0"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4.</w:t>
            </w:r>
          </w:p>
        </w:tc>
        <w:tc>
          <w:tcPr>
            <w:tcW w:w="7088" w:type="dxa"/>
            <w:shd w:val="clear" w:color="auto" w:fill="DEEAF6" w:themeFill="accent1" w:themeFillTint="33"/>
          </w:tcPr>
          <w:p w14:paraId="4BC901A3"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 xml:space="preserve">Memorandum o porozumení medzi Úradom finančnej polície SKFP P PZ Slovenskej republiky a adekvátnym kompetentným útvarom </w:t>
            </w:r>
            <w:r w:rsidRPr="004515BF">
              <w:rPr>
                <w:rFonts w:eastAsiaTheme="minorHAnsi" w:cstheme="minorBidi"/>
                <w:b/>
                <w:sz w:val="22"/>
                <w:szCs w:val="24"/>
                <w:lang w:eastAsia="en-US"/>
              </w:rPr>
              <w:t>Ukrajiny</w:t>
            </w:r>
            <w:r w:rsidRPr="004515BF">
              <w:rPr>
                <w:rFonts w:eastAsiaTheme="minorHAnsi" w:cstheme="minorBidi"/>
                <w:sz w:val="22"/>
                <w:szCs w:val="24"/>
                <w:lang w:eastAsia="en-US"/>
              </w:rPr>
              <w:t>, týkajúce sa vzájomnej spolupráce pri výmene finančného spravodajstva vo vzťahu k praniu špinavých peňazí</w:t>
            </w:r>
          </w:p>
        </w:tc>
        <w:tc>
          <w:tcPr>
            <w:tcW w:w="1417" w:type="dxa"/>
            <w:shd w:val="clear" w:color="auto" w:fill="DEEAF6" w:themeFill="accent1" w:themeFillTint="33"/>
            <w:vAlign w:val="center"/>
          </w:tcPr>
          <w:p w14:paraId="795096F0" w14:textId="77777777" w:rsidR="00216BD5" w:rsidRPr="004515BF" w:rsidRDefault="00216BD5" w:rsidP="006703BB">
            <w:pPr>
              <w:jc w:val="center"/>
              <w:rPr>
                <w:rFonts w:eastAsiaTheme="minorHAnsi" w:cstheme="minorBidi"/>
                <w:sz w:val="22"/>
                <w:szCs w:val="24"/>
                <w:lang w:eastAsia="en-US"/>
              </w:rPr>
            </w:pPr>
            <w:r w:rsidRPr="004515BF">
              <w:rPr>
                <w:rFonts w:eastAsiaTheme="minorHAnsi" w:cstheme="minorBidi"/>
                <w:sz w:val="22"/>
                <w:szCs w:val="24"/>
                <w:lang w:eastAsia="en-US"/>
              </w:rPr>
              <w:t>23.09.2003</w:t>
            </w:r>
          </w:p>
        </w:tc>
      </w:tr>
      <w:tr w:rsidR="00216BD5" w:rsidRPr="004515BF" w14:paraId="7A66B18A" w14:textId="77777777" w:rsidTr="006703BB">
        <w:tc>
          <w:tcPr>
            <w:tcW w:w="675" w:type="dxa"/>
            <w:shd w:val="clear" w:color="auto" w:fill="DEEAF6" w:themeFill="accent1" w:themeFillTint="33"/>
            <w:vAlign w:val="center"/>
          </w:tcPr>
          <w:p w14:paraId="69934F13"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5.</w:t>
            </w:r>
          </w:p>
        </w:tc>
        <w:tc>
          <w:tcPr>
            <w:tcW w:w="7088" w:type="dxa"/>
            <w:shd w:val="clear" w:color="auto" w:fill="DEEAF6" w:themeFill="accent1" w:themeFillTint="33"/>
          </w:tcPr>
          <w:p w14:paraId="534D6C42"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 xml:space="preserve">Memorandum o porozumení medzi SJFP ÚBOK P PZ Slovenskej republiky a adekvátnym kompetentným útvarom </w:t>
            </w:r>
            <w:r w:rsidRPr="004515BF">
              <w:rPr>
                <w:rFonts w:eastAsiaTheme="minorHAnsi" w:cstheme="minorBidi"/>
                <w:b/>
                <w:sz w:val="22"/>
                <w:szCs w:val="24"/>
                <w:lang w:eastAsia="en-US"/>
              </w:rPr>
              <w:t>Monaka</w:t>
            </w:r>
            <w:r w:rsidRPr="004515BF">
              <w:rPr>
                <w:rFonts w:eastAsiaTheme="minorHAnsi" w:cstheme="minorBidi"/>
                <w:sz w:val="22"/>
                <w:szCs w:val="24"/>
                <w:lang w:eastAsia="en-US"/>
              </w:rPr>
              <w:t>, týkajúce sa vzájomnej spolupráce pri výmene finančného spravodajstva vo vzťahu k praniu špinavých peňazí</w:t>
            </w:r>
          </w:p>
        </w:tc>
        <w:tc>
          <w:tcPr>
            <w:tcW w:w="1417" w:type="dxa"/>
            <w:shd w:val="clear" w:color="auto" w:fill="DEEAF6" w:themeFill="accent1" w:themeFillTint="33"/>
            <w:vAlign w:val="center"/>
          </w:tcPr>
          <w:p w14:paraId="5C3F1071" w14:textId="77777777" w:rsidR="00216BD5" w:rsidRPr="004515BF" w:rsidRDefault="00216BD5" w:rsidP="006703BB">
            <w:pPr>
              <w:jc w:val="center"/>
              <w:rPr>
                <w:rFonts w:eastAsiaTheme="minorHAnsi" w:cstheme="minorBidi"/>
                <w:sz w:val="22"/>
                <w:szCs w:val="24"/>
                <w:lang w:eastAsia="en-US"/>
              </w:rPr>
            </w:pPr>
            <w:r w:rsidRPr="004515BF">
              <w:rPr>
                <w:rFonts w:eastAsiaTheme="minorHAnsi" w:cstheme="minorBidi"/>
                <w:sz w:val="22"/>
                <w:szCs w:val="24"/>
                <w:lang w:eastAsia="en-US"/>
              </w:rPr>
              <w:t>24.06.2004</w:t>
            </w:r>
          </w:p>
        </w:tc>
      </w:tr>
      <w:tr w:rsidR="00216BD5" w:rsidRPr="004515BF" w14:paraId="37160F21" w14:textId="77777777" w:rsidTr="006703BB">
        <w:tc>
          <w:tcPr>
            <w:tcW w:w="675" w:type="dxa"/>
            <w:shd w:val="clear" w:color="auto" w:fill="DEEAF6" w:themeFill="accent1" w:themeFillTint="33"/>
            <w:vAlign w:val="center"/>
          </w:tcPr>
          <w:p w14:paraId="50B5E9F3"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6.</w:t>
            </w:r>
          </w:p>
        </w:tc>
        <w:tc>
          <w:tcPr>
            <w:tcW w:w="7088" w:type="dxa"/>
            <w:shd w:val="clear" w:color="auto" w:fill="DEEAF6" w:themeFill="accent1" w:themeFillTint="33"/>
          </w:tcPr>
          <w:p w14:paraId="6DDD01FD"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 xml:space="preserve">Memorandum o porozumení medzi SJFP ÚBOK P PZ Slovenskej republiky a adekvátnym kompetentným útvarom </w:t>
            </w:r>
            <w:r w:rsidRPr="004515BF">
              <w:rPr>
                <w:rFonts w:eastAsiaTheme="minorHAnsi" w:cstheme="minorBidi"/>
                <w:b/>
                <w:sz w:val="22"/>
                <w:szCs w:val="24"/>
                <w:lang w:eastAsia="en-US"/>
              </w:rPr>
              <w:t>Austrálie</w:t>
            </w:r>
            <w:r w:rsidRPr="004515BF">
              <w:rPr>
                <w:rFonts w:eastAsiaTheme="minorHAnsi" w:cstheme="minorBidi"/>
                <w:sz w:val="22"/>
                <w:szCs w:val="24"/>
                <w:lang w:eastAsia="en-US"/>
              </w:rPr>
              <w:t>, týkajúce sa vzájomnej spolupráce pri výmene finančného spravodajstva vo vzťahu k praniu špinavých peňazí</w:t>
            </w:r>
          </w:p>
        </w:tc>
        <w:tc>
          <w:tcPr>
            <w:tcW w:w="1417" w:type="dxa"/>
            <w:shd w:val="clear" w:color="auto" w:fill="DEEAF6" w:themeFill="accent1" w:themeFillTint="33"/>
            <w:vAlign w:val="center"/>
          </w:tcPr>
          <w:p w14:paraId="52A24AA2" w14:textId="77777777" w:rsidR="00216BD5" w:rsidRPr="004515BF" w:rsidRDefault="00216BD5" w:rsidP="006703BB">
            <w:pPr>
              <w:jc w:val="center"/>
              <w:rPr>
                <w:rFonts w:eastAsiaTheme="minorHAnsi" w:cstheme="minorBidi"/>
                <w:sz w:val="22"/>
                <w:szCs w:val="24"/>
                <w:lang w:eastAsia="en-US"/>
              </w:rPr>
            </w:pPr>
            <w:r w:rsidRPr="004515BF">
              <w:rPr>
                <w:rFonts w:eastAsiaTheme="minorHAnsi" w:cstheme="minorBidi"/>
                <w:sz w:val="22"/>
                <w:szCs w:val="24"/>
                <w:lang w:eastAsia="en-US"/>
              </w:rPr>
              <w:t>24.06.2004</w:t>
            </w:r>
          </w:p>
        </w:tc>
      </w:tr>
      <w:tr w:rsidR="00216BD5" w:rsidRPr="004515BF" w14:paraId="074D5F75" w14:textId="77777777" w:rsidTr="006703BB">
        <w:tc>
          <w:tcPr>
            <w:tcW w:w="675" w:type="dxa"/>
            <w:shd w:val="clear" w:color="auto" w:fill="DEEAF6" w:themeFill="accent1" w:themeFillTint="33"/>
            <w:vAlign w:val="center"/>
          </w:tcPr>
          <w:p w14:paraId="644F3C81"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7.</w:t>
            </w:r>
          </w:p>
        </w:tc>
        <w:tc>
          <w:tcPr>
            <w:tcW w:w="7088" w:type="dxa"/>
            <w:shd w:val="clear" w:color="auto" w:fill="DEEAF6" w:themeFill="accent1" w:themeFillTint="33"/>
          </w:tcPr>
          <w:p w14:paraId="4ED100B2"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 xml:space="preserve">Memorandum o porozumení medzi SJFP ÚBOK P PZ Slovenskej republiky a adekvátnym kompetentným útvarom </w:t>
            </w:r>
            <w:r w:rsidRPr="004515BF">
              <w:rPr>
                <w:rFonts w:eastAsiaTheme="minorHAnsi" w:cstheme="minorBidi"/>
                <w:b/>
                <w:sz w:val="22"/>
                <w:szCs w:val="24"/>
                <w:lang w:eastAsia="en-US"/>
              </w:rPr>
              <w:t>Albánska</w:t>
            </w:r>
            <w:r w:rsidRPr="004515BF">
              <w:rPr>
                <w:rFonts w:eastAsiaTheme="minorHAnsi" w:cstheme="minorBidi"/>
                <w:sz w:val="22"/>
                <w:szCs w:val="24"/>
                <w:lang w:eastAsia="en-US"/>
              </w:rPr>
              <w:t>, týkajúce sa vzájomnej spolupráce pri výmene finančného spravodajstva vo vzťahu k praniu špinavých peňazí</w:t>
            </w:r>
          </w:p>
        </w:tc>
        <w:tc>
          <w:tcPr>
            <w:tcW w:w="1417" w:type="dxa"/>
            <w:shd w:val="clear" w:color="auto" w:fill="DEEAF6" w:themeFill="accent1" w:themeFillTint="33"/>
            <w:vAlign w:val="center"/>
          </w:tcPr>
          <w:p w14:paraId="431492B7" w14:textId="77777777" w:rsidR="00216BD5" w:rsidRPr="004515BF" w:rsidRDefault="00216BD5" w:rsidP="006703BB">
            <w:pPr>
              <w:jc w:val="center"/>
              <w:rPr>
                <w:rFonts w:eastAsiaTheme="minorHAnsi" w:cstheme="minorBidi"/>
                <w:sz w:val="22"/>
                <w:szCs w:val="24"/>
                <w:lang w:eastAsia="en-US"/>
              </w:rPr>
            </w:pPr>
            <w:r w:rsidRPr="004515BF">
              <w:rPr>
                <w:rFonts w:eastAsiaTheme="minorHAnsi" w:cstheme="minorBidi"/>
                <w:sz w:val="22"/>
                <w:szCs w:val="24"/>
                <w:lang w:eastAsia="en-US"/>
              </w:rPr>
              <w:t>15.02.2005</w:t>
            </w:r>
          </w:p>
        </w:tc>
      </w:tr>
      <w:tr w:rsidR="00216BD5" w:rsidRPr="004515BF" w14:paraId="4FEDD02E" w14:textId="77777777" w:rsidTr="006703BB">
        <w:tc>
          <w:tcPr>
            <w:tcW w:w="675" w:type="dxa"/>
            <w:shd w:val="clear" w:color="auto" w:fill="DEEAF6" w:themeFill="accent1" w:themeFillTint="33"/>
            <w:vAlign w:val="center"/>
          </w:tcPr>
          <w:p w14:paraId="3E53D156"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8.</w:t>
            </w:r>
          </w:p>
        </w:tc>
        <w:tc>
          <w:tcPr>
            <w:tcW w:w="7088" w:type="dxa"/>
            <w:shd w:val="clear" w:color="auto" w:fill="DEEAF6" w:themeFill="accent1" w:themeFillTint="33"/>
          </w:tcPr>
          <w:p w14:paraId="3092B52C" w14:textId="77777777" w:rsidR="00216BD5" w:rsidRPr="004515BF" w:rsidRDefault="00216BD5" w:rsidP="006703BB">
            <w:pPr>
              <w:rPr>
                <w:rFonts w:eastAsiaTheme="minorHAnsi" w:cstheme="minorBidi"/>
                <w:sz w:val="22"/>
                <w:szCs w:val="24"/>
                <w:lang w:eastAsia="en-US"/>
              </w:rPr>
            </w:pPr>
            <w:r w:rsidRPr="004515BF">
              <w:rPr>
                <w:rFonts w:eastAsiaTheme="minorHAnsi" w:cstheme="minorBidi"/>
                <w:sz w:val="22"/>
                <w:szCs w:val="24"/>
                <w:lang w:eastAsia="en-US"/>
              </w:rPr>
              <w:t xml:space="preserve">Memorandum o porozumení medzi FSJ </w:t>
            </w:r>
            <w:r>
              <w:rPr>
                <w:rFonts w:eastAsiaTheme="minorHAnsi" w:cstheme="minorBidi"/>
                <w:sz w:val="22"/>
                <w:szCs w:val="24"/>
                <w:lang w:eastAsia="en-US"/>
              </w:rPr>
              <w:t xml:space="preserve">a </w:t>
            </w:r>
            <w:r w:rsidRPr="004515BF">
              <w:rPr>
                <w:rFonts w:eastAsiaTheme="minorHAnsi" w:cstheme="minorBidi"/>
                <w:sz w:val="22"/>
                <w:szCs w:val="24"/>
                <w:lang w:eastAsia="en-US"/>
              </w:rPr>
              <w:t xml:space="preserve">adekvátnym kompetentným útvarom </w:t>
            </w:r>
            <w:r w:rsidRPr="004515BF">
              <w:rPr>
                <w:rFonts w:eastAsiaTheme="minorHAnsi" w:cstheme="minorBidi"/>
                <w:b/>
                <w:sz w:val="22"/>
                <w:szCs w:val="24"/>
                <w:lang w:eastAsia="en-US"/>
              </w:rPr>
              <w:t>Ruskej federácie</w:t>
            </w:r>
            <w:r w:rsidRPr="004515BF">
              <w:rPr>
                <w:rFonts w:eastAsiaTheme="minorHAnsi" w:cstheme="minorBidi"/>
                <w:sz w:val="22"/>
                <w:szCs w:val="24"/>
                <w:lang w:eastAsia="en-US"/>
              </w:rPr>
              <w:t>, týkajúce sa vzájomnej spolupráce pri výmene finančného spravodajstva vo vzťahu k praniu špinavých peňazí</w:t>
            </w:r>
          </w:p>
        </w:tc>
        <w:tc>
          <w:tcPr>
            <w:tcW w:w="1417" w:type="dxa"/>
            <w:shd w:val="clear" w:color="auto" w:fill="DEEAF6" w:themeFill="accent1" w:themeFillTint="33"/>
            <w:vAlign w:val="center"/>
          </w:tcPr>
          <w:p w14:paraId="073D262A" w14:textId="77777777" w:rsidR="00216BD5" w:rsidRPr="004515BF" w:rsidRDefault="00216BD5" w:rsidP="006703BB">
            <w:pPr>
              <w:jc w:val="center"/>
              <w:rPr>
                <w:rFonts w:eastAsiaTheme="minorHAnsi" w:cstheme="minorBidi"/>
                <w:sz w:val="22"/>
                <w:szCs w:val="24"/>
                <w:lang w:eastAsia="en-US"/>
              </w:rPr>
            </w:pPr>
            <w:r w:rsidRPr="004515BF">
              <w:rPr>
                <w:rFonts w:eastAsiaTheme="minorHAnsi" w:cstheme="minorBidi"/>
                <w:sz w:val="22"/>
                <w:szCs w:val="24"/>
                <w:lang w:eastAsia="en-US"/>
              </w:rPr>
              <w:t>04.07.2013</w:t>
            </w:r>
          </w:p>
        </w:tc>
      </w:tr>
    </w:tbl>
    <w:p w14:paraId="71585404"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p>
    <w:p w14:paraId="649C1F74" w14:textId="77777777" w:rsidR="00216BD5" w:rsidRPr="006A0299"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Vzájomná komunikácia medzi FIU jednotlivých krajín sa uskutočňuje prostredníctvom dvoch počítačových sietí, a to buď prostredníctvom zabezpečenej šifrovanej elektronickej komunikačnej siete Egmont Secure Web (ESW) vytvorenej v rámci medzinárodnej organizácie Egmont Group, pomocou ktorej je možné komunikovať s FIU z celého sveta</w:t>
      </w:r>
      <w:r>
        <w:rPr>
          <w:rFonts w:eastAsiaTheme="minorHAnsi" w:cstheme="minorBidi"/>
          <w:sz w:val="24"/>
          <w:szCs w:val="24"/>
          <w:lang w:eastAsia="en-US"/>
        </w:rPr>
        <w:t>,</w:t>
      </w:r>
      <w:r w:rsidRPr="006A0299">
        <w:rPr>
          <w:rFonts w:eastAsiaTheme="minorHAnsi" w:cstheme="minorBidi"/>
          <w:sz w:val="24"/>
          <w:szCs w:val="24"/>
          <w:lang w:eastAsia="en-US"/>
        </w:rPr>
        <w:t xml:space="preserve"> alebo prostredníctvom počítačovej siete Financial Intelligence Unit Network (FIU.NET). </w:t>
      </w:r>
    </w:p>
    <w:p w14:paraId="546F84AC" w14:textId="6062F2C2" w:rsidR="00216BD5" w:rsidRPr="006A0299"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FIU.NET je decentralizovaná počítačová sieť poskytujúca výmenu informácií medzi FIU Európskej únie. Neexistuje žiadna centrálna databáza, kde sú zhromažďované informácie. Všetky pripojené FIU majú svoje FIU.NET zariadenia vo vlastných priestoroch a spravujú svoje vlastné informácie. Prostredníctvom FIU.NET je možné vytvárať bilaterálne alebo multilaterálne prípady. V rámci FIU.NET bola vytvorená sofistikovaná technológia Ma3tch, ktorá umožňuje FIU pripojeným na FIU.NET, aby</w:t>
      </w:r>
      <w:r>
        <w:rPr>
          <w:rFonts w:eastAsiaTheme="minorHAnsi" w:cstheme="minorBidi"/>
          <w:sz w:val="24"/>
          <w:szCs w:val="24"/>
          <w:lang w:eastAsia="en-US"/>
        </w:rPr>
        <w:t xml:space="preserve"> </w:t>
      </w:r>
      <w:r w:rsidRPr="006A0299">
        <w:rPr>
          <w:rFonts w:eastAsiaTheme="minorHAnsi" w:cstheme="minorBidi"/>
          <w:sz w:val="24"/>
          <w:szCs w:val="24"/>
          <w:lang w:eastAsia="en-US"/>
        </w:rPr>
        <w:t xml:space="preserve">porovnali zhodu ich dát s inými FIU a to anonymným spôsobom. Veľmi zjednodušene, táto funkcionalita prevádza údaje FIU do jednotných anonymizovaných filtrov bez použitia citlivých osobných údajov. Tieto filtre </w:t>
      </w:r>
      <w:r w:rsidRPr="006A0299">
        <w:rPr>
          <w:rFonts w:eastAsiaTheme="minorHAnsi" w:cstheme="minorBidi"/>
          <w:sz w:val="24"/>
          <w:szCs w:val="24"/>
          <w:lang w:eastAsia="en-US"/>
        </w:rPr>
        <w:lastRenderedPageBreak/>
        <w:t xml:space="preserve">možno teda bezpečne </w:t>
      </w:r>
      <w:r w:rsidR="000A0CF2" w:rsidRPr="006A0299">
        <w:rPr>
          <w:rFonts w:eastAsiaTheme="minorHAnsi" w:cstheme="minorBidi"/>
          <w:sz w:val="24"/>
          <w:szCs w:val="24"/>
          <w:lang w:eastAsia="en-US"/>
        </w:rPr>
        <w:t>zdieľať</w:t>
      </w:r>
      <w:r w:rsidRPr="006A0299">
        <w:rPr>
          <w:rFonts w:eastAsiaTheme="minorHAnsi" w:cstheme="minorBidi"/>
          <w:sz w:val="24"/>
          <w:szCs w:val="24"/>
          <w:lang w:eastAsia="en-US"/>
        </w:rPr>
        <w:t xml:space="preserve"> a využívať s inými FIU. Veľkým prínosom Ma3tch je možnosť detekovať predmety záujmu jednotlivých FIU v iných krajinách, aj keď si neboli vedomí toho, že subjekt by mohol mať súvis s danou krajinou. Týmto spôsobom môžu FIU pracovať ako jeden celok a vďaka FIU.NET</w:t>
      </w:r>
      <w:r>
        <w:rPr>
          <w:rFonts w:eastAsiaTheme="minorHAnsi" w:cstheme="minorBidi"/>
          <w:sz w:val="24"/>
          <w:szCs w:val="24"/>
          <w:lang w:eastAsia="en-US"/>
        </w:rPr>
        <w:t>,</w:t>
      </w:r>
      <w:r w:rsidRPr="006A0299">
        <w:rPr>
          <w:rFonts w:eastAsiaTheme="minorHAnsi" w:cstheme="minorBidi"/>
          <w:sz w:val="24"/>
          <w:szCs w:val="24"/>
          <w:lang w:eastAsia="en-US"/>
        </w:rPr>
        <w:t xml:space="preserve"> ako virtuálnej entite</w:t>
      </w:r>
      <w:r>
        <w:rPr>
          <w:rFonts w:eastAsiaTheme="minorHAnsi" w:cstheme="minorBidi"/>
          <w:sz w:val="24"/>
          <w:szCs w:val="24"/>
          <w:lang w:eastAsia="en-US"/>
        </w:rPr>
        <w:t>,</w:t>
      </w:r>
      <w:r w:rsidRPr="006A0299">
        <w:rPr>
          <w:rFonts w:eastAsiaTheme="minorHAnsi" w:cstheme="minorBidi"/>
          <w:sz w:val="24"/>
          <w:szCs w:val="24"/>
          <w:lang w:eastAsia="en-US"/>
        </w:rPr>
        <w:t xml:space="preserve"> môžu zistiť rôzne skryté výnosy pochádzajúce z trestnej činnosti v iných krajinách. A hoci sa zločinci a teroristi môžu pohybovať voľne v rámci našich otvorených hraníc, finančné spravodajské jednotky aj vďaka medzinárodnej spolupráci stále môžu vypátrať ich finančné aktivity, či už v rámci E</w:t>
      </w:r>
      <w:r>
        <w:rPr>
          <w:rFonts w:eastAsiaTheme="minorHAnsi" w:cstheme="minorBidi"/>
          <w:sz w:val="24"/>
          <w:szCs w:val="24"/>
          <w:lang w:eastAsia="en-US"/>
        </w:rPr>
        <w:t>urópskej únie</w:t>
      </w:r>
      <w:r w:rsidRPr="006A0299">
        <w:rPr>
          <w:rFonts w:eastAsiaTheme="minorHAnsi" w:cstheme="minorBidi"/>
          <w:sz w:val="24"/>
          <w:szCs w:val="24"/>
          <w:lang w:eastAsia="en-US"/>
        </w:rPr>
        <w:t xml:space="preserve"> alebo v rámci celého sveta.</w:t>
      </w:r>
    </w:p>
    <w:p w14:paraId="5541AB07" w14:textId="77777777" w:rsidR="00216BD5" w:rsidRDefault="00216BD5" w:rsidP="00216BD5">
      <w:pPr>
        <w:spacing w:after="120"/>
        <w:rPr>
          <w:rFonts w:eastAsiaTheme="minorHAnsi" w:cstheme="minorBidi"/>
          <w:sz w:val="24"/>
          <w:szCs w:val="24"/>
          <w:lang w:eastAsia="en-US"/>
        </w:rPr>
      </w:pPr>
      <w:r w:rsidRPr="006A0299">
        <w:rPr>
          <w:rFonts w:eastAsiaTheme="minorHAnsi" w:cstheme="minorBidi"/>
          <w:sz w:val="24"/>
          <w:szCs w:val="24"/>
          <w:lang w:eastAsia="en-US"/>
        </w:rPr>
        <w:t xml:space="preserve"> </w:t>
      </w:r>
      <w:r>
        <w:rPr>
          <w:rFonts w:eastAsiaTheme="minorHAnsi" w:cstheme="minorBidi"/>
          <w:sz w:val="24"/>
          <w:szCs w:val="24"/>
          <w:lang w:eastAsia="en-US"/>
        </w:rPr>
        <w:tab/>
      </w:r>
      <w:r w:rsidRPr="006A0299">
        <w:rPr>
          <w:rFonts w:eastAsiaTheme="minorHAnsi" w:cstheme="minorBidi"/>
          <w:sz w:val="24"/>
          <w:szCs w:val="24"/>
          <w:lang w:eastAsia="en-US"/>
        </w:rPr>
        <w:t>V hodnotenom období FSJ na úrovni FIU združených v skupine Egmont Group spolupracovala z celkového počtu 139 členských kra</w:t>
      </w:r>
      <w:r>
        <w:rPr>
          <w:rFonts w:eastAsiaTheme="minorHAnsi" w:cstheme="minorBidi"/>
          <w:sz w:val="24"/>
          <w:szCs w:val="24"/>
          <w:lang w:eastAsia="en-US"/>
        </w:rPr>
        <w:t>jín predovšetkým s </w:t>
      </w:r>
      <w:r w:rsidRPr="006A0299">
        <w:rPr>
          <w:rFonts w:eastAsiaTheme="minorHAnsi" w:cstheme="minorBidi"/>
          <w:sz w:val="24"/>
          <w:szCs w:val="24"/>
          <w:lang w:eastAsia="en-US"/>
        </w:rPr>
        <w:t>partnerskou FIU z</w:t>
      </w:r>
      <w:r>
        <w:rPr>
          <w:rFonts w:eastAsiaTheme="minorHAnsi" w:cstheme="minorBidi"/>
          <w:sz w:val="24"/>
          <w:szCs w:val="24"/>
          <w:lang w:eastAsia="en-US"/>
        </w:rPr>
        <w:t> </w:t>
      </w:r>
      <w:r w:rsidRPr="006A0299">
        <w:rPr>
          <w:rFonts w:eastAsiaTheme="minorHAnsi" w:cstheme="minorBidi"/>
          <w:sz w:val="24"/>
          <w:szCs w:val="24"/>
          <w:lang w:eastAsia="en-US"/>
        </w:rPr>
        <w:t>Českej republiky, Maďarska, Poľska a Talianska. Z celkového počtu 27 členských krajín FIU.NET (FIU Chorvátsko pripojené v novembri 2014) bola najintenzívnejšia spolupráca realizovaná s partnerskou FIU Nemecka, Maďarska, Francúzska.</w:t>
      </w:r>
    </w:p>
    <w:p w14:paraId="534AFEA3"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V procese výmeny informácií v priebehu roku 2014 FSJ zaslala do zahraničia spolu 333 žiadostí o poskytnutie informácií. Pre zahraničné FIU bolo vybavených 301 dožiadaní o</w:t>
      </w:r>
      <w:r>
        <w:rPr>
          <w:rFonts w:eastAsiaTheme="minorHAnsi" w:cstheme="minorBidi"/>
          <w:sz w:val="24"/>
          <w:szCs w:val="24"/>
          <w:lang w:eastAsia="en-US"/>
        </w:rPr>
        <w:t> </w:t>
      </w:r>
      <w:r w:rsidRPr="006A0299">
        <w:rPr>
          <w:rFonts w:eastAsiaTheme="minorHAnsi" w:cstheme="minorBidi"/>
          <w:sz w:val="24"/>
          <w:szCs w:val="24"/>
          <w:lang w:eastAsia="en-US"/>
        </w:rPr>
        <w:t xml:space="preserve">informácie. Spontánnych informácií FSJ prijala 70 a do zahraničia ich bolo zaslaných 430. </w:t>
      </w:r>
    </w:p>
    <w:p w14:paraId="7F179DE9" w14:textId="77777777" w:rsidR="00216BD5" w:rsidRDefault="00216BD5" w:rsidP="00216BD5">
      <w:pPr>
        <w:spacing w:after="120"/>
        <w:rPr>
          <w:rFonts w:eastAsiaTheme="minorHAnsi" w:cstheme="minorBidi"/>
          <w:lang w:eastAsia="en-US"/>
        </w:rPr>
      </w:pPr>
    </w:p>
    <w:p w14:paraId="4811E6A9" w14:textId="77777777" w:rsidR="00216BD5" w:rsidRPr="00021766" w:rsidRDefault="00216BD5" w:rsidP="00216BD5">
      <w:pPr>
        <w:spacing w:after="120"/>
        <w:rPr>
          <w:rFonts w:eastAsiaTheme="minorHAnsi" w:cstheme="minorBidi"/>
          <w:lang w:eastAsia="en-US"/>
        </w:rPr>
      </w:pPr>
      <w:r w:rsidRPr="00021766">
        <w:rPr>
          <w:rFonts w:eastAsiaTheme="minorHAnsi" w:cstheme="minorBidi"/>
          <w:lang w:eastAsia="en-US"/>
        </w:rPr>
        <w:t>Tabuľka č. 1</w:t>
      </w:r>
      <w:r>
        <w:rPr>
          <w:rFonts w:eastAsiaTheme="minorHAnsi" w:cstheme="minorBidi"/>
          <w:lang w:eastAsia="en-US"/>
        </w:rPr>
        <w:t>4</w:t>
      </w:r>
      <w:r w:rsidRPr="00021766">
        <w:rPr>
          <w:rFonts w:eastAsiaTheme="minorHAnsi" w:cstheme="minorBidi"/>
          <w:lang w:eastAsia="en-US"/>
        </w:rPr>
        <w:t xml:space="preserve">: Prehľad vybraných činností oddelenia medzinárodnej </w:t>
      </w:r>
      <w:r>
        <w:rPr>
          <w:rFonts w:eastAsiaTheme="minorHAnsi" w:cstheme="minorBidi"/>
          <w:lang w:eastAsia="en-US"/>
        </w:rPr>
        <w:t>spolupráce v rokoch 2013 – 2014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524"/>
        <w:gridCol w:w="1984"/>
        <w:gridCol w:w="1843"/>
        <w:gridCol w:w="3118"/>
      </w:tblGrid>
      <w:tr w:rsidR="00216BD5" w:rsidRPr="006A0299" w14:paraId="71B2EDC0" w14:textId="77777777" w:rsidTr="006703BB">
        <w:tc>
          <w:tcPr>
            <w:tcW w:w="709" w:type="dxa"/>
            <w:shd w:val="clear" w:color="auto" w:fill="F4B083" w:themeFill="accent2" w:themeFillTint="99"/>
          </w:tcPr>
          <w:p w14:paraId="71CAB456" w14:textId="77777777" w:rsidR="00216BD5" w:rsidRPr="000A30E7" w:rsidRDefault="00216BD5" w:rsidP="006703BB">
            <w:pPr>
              <w:spacing w:after="120"/>
              <w:rPr>
                <w:rFonts w:eastAsiaTheme="minorHAnsi" w:cstheme="minorBidi"/>
                <w:b/>
                <w:bCs/>
                <w:lang w:eastAsia="en-US"/>
              </w:rPr>
            </w:pPr>
          </w:p>
          <w:p w14:paraId="08754A5F" w14:textId="77777777" w:rsidR="00216BD5" w:rsidRPr="000A30E7" w:rsidRDefault="00216BD5" w:rsidP="006703BB">
            <w:pPr>
              <w:spacing w:after="120"/>
              <w:rPr>
                <w:rFonts w:eastAsiaTheme="minorHAnsi" w:cstheme="minorBidi"/>
                <w:b/>
                <w:lang w:eastAsia="en-US"/>
              </w:rPr>
            </w:pPr>
            <w:r w:rsidRPr="000A30E7">
              <w:rPr>
                <w:rFonts w:eastAsiaTheme="minorHAnsi" w:cstheme="minorBidi"/>
                <w:b/>
                <w:lang w:eastAsia="en-US"/>
              </w:rPr>
              <w:t xml:space="preserve">Rok </w:t>
            </w:r>
          </w:p>
        </w:tc>
        <w:tc>
          <w:tcPr>
            <w:tcW w:w="1524" w:type="dxa"/>
            <w:shd w:val="clear" w:color="auto" w:fill="F4B083" w:themeFill="accent2" w:themeFillTint="99"/>
          </w:tcPr>
          <w:p w14:paraId="16B2CD0C" w14:textId="77777777" w:rsidR="00216BD5" w:rsidRPr="000A30E7" w:rsidRDefault="00216BD5" w:rsidP="006703BB">
            <w:pPr>
              <w:spacing w:after="120"/>
              <w:jc w:val="center"/>
              <w:rPr>
                <w:rFonts w:eastAsiaTheme="minorHAnsi" w:cstheme="minorBidi"/>
                <w:b/>
                <w:bCs/>
                <w:lang w:eastAsia="en-US"/>
              </w:rPr>
            </w:pPr>
          </w:p>
          <w:p w14:paraId="6470F11E" w14:textId="77777777" w:rsidR="00216BD5" w:rsidRPr="000A30E7" w:rsidRDefault="00216BD5" w:rsidP="006703BB">
            <w:pPr>
              <w:spacing w:after="120"/>
              <w:jc w:val="left"/>
              <w:rPr>
                <w:rFonts w:eastAsiaTheme="minorHAnsi" w:cstheme="minorBidi"/>
                <w:lang w:eastAsia="en-US"/>
              </w:rPr>
            </w:pPr>
            <w:r w:rsidRPr="000A30E7">
              <w:rPr>
                <w:rFonts w:eastAsiaTheme="minorHAnsi" w:cstheme="minorBidi"/>
                <w:b/>
                <w:bCs/>
                <w:lang w:eastAsia="en-US"/>
              </w:rPr>
              <w:t>Počet žiadostí zaslaných do zahraničia</w:t>
            </w:r>
          </w:p>
        </w:tc>
        <w:tc>
          <w:tcPr>
            <w:tcW w:w="1984" w:type="dxa"/>
            <w:shd w:val="clear" w:color="auto" w:fill="F4B083" w:themeFill="accent2" w:themeFillTint="99"/>
          </w:tcPr>
          <w:p w14:paraId="5BDEE8BC" w14:textId="77777777" w:rsidR="00216BD5" w:rsidRPr="000A30E7" w:rsidRDefault="00216BD5" w:rsidP="006703BB">
            <w:pPr>
              <w:spacing w:after="120"/>
              <w:jc w:val="center"/>
              <w:rPr>
                <w:rFonts w:eastAsiaTheme="minorHAnsi" w:cstheme="minorBidi"/>
                <w:b/>
                <w:bCs/>
                <w:lang w:eastAsia="en-US"/>
              </w:rPr>
            </w:pPr>
          </w:p>
          <w:p w14:paraId="1193502A" w14:textId="5B385AF6" w:rsidR="00216BD5" w:rsidRPr="000A30E7" w:rsidRDefault="00216BD5" w:rsidP="001D6C41">
            <w:pPr>
              <w:spacing w:after="120"/>
              <w:jc w:val="left"/>
              <w:rPr>
                <w:rFonts w:eastAsiaTheme="minorHAnsi" w:cstheme="minorBidi"/>
                <w:b/>
                <w:bCs/>
                <w:lang w:eastAsia="en-US"/>
              </w:rPr>
            </w:pPr>
            <w:r w:rsidRPr="000A30E7">
              <w:rPr>
                <w:rFonts w:eastAsiaTheme="minorHAnsi" w:cstheme="minorBidi"/>
                <w:b/>
                <w:bCs/>
                <w:lang w:eastAsia="en-US"/>
              </w:rPr>
              <w:t>P</w:t>
            </w:r>
            <w:r>
              <w:rPr>
                <w:rFonts w:eastAsiaTheme="minorHAnsi" w:cstheme="minorBidi"/>
                <w:b/>
                <w:bCs/>
                <w:lang w:eastAsia="en-US"/>
              </w:rPr>
              <w:t xml:space="preserve">očet vybavených dožiadaní </w:t>
            </w:r>
            <w:r w:rsidRPr="000A30E7">
              <w:rPr>
                <w:rFonts w:eastAsiaTheme="minorHAnsi" w:cstheme="minorBidi"/>
                <w:b/>
                <w:bCs/>
                <w:lang w:eastAsia="en-US"/>
              </w:rPr>
              <w:t>zo</w:t>
            </w:r>
            <w:r w:rsidR="001D6C41">
              <w:rPr>
                <w:rFonts w:eastAsiaTheme="minorHAnsi" w:cstheme="minorBidi"/>
                <w:b/>
                <w:bCs/>
                <w:lang w:eastAsia="en-US"/>
              </w:rPr>
              <w:t> </w:t>
            </w:r>
            <w:r w:rsidRPr="000A30E7">
              <w:rPr>
                <w:rFonts w:eastAsiaTheme="minorHAnsi" w:cstheme="minorBidi"/>
                <w:b/>
                <w:bCs/>
                <w:lang w:eastAsia="en-US"/>
              </w:rPr>
              <w:t>zahraničia</w:t>
            </w:r>
          </w:p>
        </w:tc>
        <w:tc>
          <w:tcPr>
            <w:tcW w:w="1843" w:type="dxa"/>
            <w:shd w:val="clear" w:color="auto" w:fill="F4B083" w:themeFill="accent2" w:themeFillTint="99"/>
          </w:tcPr>
          <w:p w14:paraId="5B7702E5" w14:textId="77777777" w:rsidR="00216BD5" w:rsidRPr="000A30E7" w:rsidRDefault="00216BD5" w:rsidP="006703BB">
            <w:pPr>
              <w:spacing w:after="120"/>
              <w:jc w:val="center"/>
              <w:rPr>
                <w:rFonts w:eastAsiaTheme="minorHAnsi" w:cstheme="minorBidi"/>
                <w:b/>
                <w:bCs/>
                <w:lang w:eastAsia="en-US"/>
              </w:rPr>
            </w:pPr>
          </w:p>
          <w:p w14:paraId="7FB6E866" w14:textId="77777777" w:rsidR="00216BD5" w:rsidRPr="000A30E7" w:rsidRDefault="00216BD5" w:rsidP="006703BB">
            <w:pPr>
              <w:spacing w:after="120"/>
              <w:jc w:val="left"/>
              <w:rPr>
                <w:rFonts w:eastAsiaTheme="minorHAnsi" w:cstheme="minorBidi"/>
                <w:lang w:eastAsia="en-US"/>
              </w:rPr>
            </w:pPr>
            <w:r w:rsidRPr="000A30E7">
              <w:rPr>
                <w:rFonts w:eastAsiaTheme="minorHAnsi" w:cstheme="minorBidi"/>
                <w:b/>
                <w:bCs/>
                <w:lang w:eastAsia="en-US"/>
              </w:rPr>
              <w:t>Počet informácií odstúpených</w:t>
            </w:r>
            <w:r>
              <w:rPr>
                <w:rFonts w:eastAsiaTheme="minorHAnsi" w:cstheme="minorBidi"/>
                <w:b/>
                <w:bCs/>
                <w:lang w:eastAsia="en-US"/>
              </w:rPr>
              <w:t xml:space="preserve"> </w:t>
            </w:r>
            <w:r w:rsidRPr="000A30E7">
              <w:rPr>
                <w:rFonts w:eastAsiaTheme="minorHAnsi" w:cstheme="minorBidi"/>
                <w:b/>
                <w:bCs/>
                <w:lang w:eastAsia="en-US"/>
              </w:rPr>
              <w:t>do zahraničia</w:t>
            </w:r>
          </w:p>
        </w:tc>
        <w:tc>
          <w:tcPr>
            <w:tcW w:w="3118" w:type="dxa"/>
            <w:shd w:val="clear" w:color="auto" w:fill="F4B083" w:themeFill="accent2" w:themeFillTint="99"/>
          </w:tcPr>
          <w:p w14:paraId="26FE8FC3" w14:textId="77777777" w:rsidR="00216BD5" w:rsidRPr="000A30E7" w:rsidRDefault="00216BD5" w:rsidP="006703BB">
            <w:pPr>
              <w:spacing w:after="120"/>
              <w:jc w:val="center"/>
              <w:rPr>
                <w:rFonts w:eastAsiaTheme="minorHAnsi" w:cstheme="minorBidi"/>
                <w:b/>
                <w:bCs/>
                <w:lang w:eastAsia="en-US"/>
              </w:rPr>
            </w:pPr>
          </w:p>
          <w:p w14:paraId="0EDDE550" w14:textId="188E8B7D" w:rsidR="00216BD5" w:rsidRPr="000A30E7" w:rsidRDefault="00216BD5" w:rsidP="001D6C41">
            <w:pPr>
              <w:spacing w:after="120"/>
              <w:jc w:val="left"/>
              <w:rPr>
                <w:rFonts w:eastAsiaTheme="minorHAnsi" w:cstheme="minorBidi"/>
                <w:b/>
                <w:bCs/>
                <w:lang w:eastAsia="en-US"/>
              </w:rPr>
            </w:pPr>
            <w:r w:rsidRPr="000A30E7">
              <w:rPr>
                <w:rFonts w:eastAsiaTheme="minorHAnsi" w:cstheme="minorBidi"/>
                <w:b/>
                <w:bCs/>
                <w:lang w:eastAsia="en-US"/>
              </w:rPr>
              <w:t>Počet informácií o slovenských subjektoch prijatých zo</w:t>
            </w:r>
            <w:r w:rsidR="001D6C41">
              <w:rPr>
                <w:rFonts w:eastAsiaTheme="minorHAnsi" w:cstheme="minorBidi"/>
                <w:b/>
                <w:bCs/>
                <w:lang w:eastAsia="en-US"/>
              </w:rPr>
              <w:t> </w:t>
            </w:r>
            <w:r w:rsidRPr="000A30E7">
              <w:rPr>
                <w:rFonts w:eastAsiaTheme="minorHAnsi" w:cstheme="minorBidi"/>
                <w:b/>
                <w:bCs/>
                <w:lang w:eastAsia="en-US"/>
              </w:rPr>
              <w:t>zahraničia</w:t>
            </w:r>
          </w:p>
        </w:tc>
      </w:tr>
      <w:tr w:rsidR="00216BD5" w:rsidRPr="006A0299" w14:paraId="2A60AF8C" w14:textId="77777777" w:rsidTr="006703BB">
        <w:tc>
          <w:tcPr>
            <w:tcW w:w="709" w:type="dxa"/>
            <w:shd w:val="clear" w:color="auto" w:fill="F7CAAC" w:themeFill="accent2" w:themeFillTint="66"/>
          </w:tcPr>
          <w:p w14:paraId="7857C7B9" w14:textId="77777777" w:rsidR="00216BD5" w:rsidRPr="006A0299" w:rsidRDefault="00216BD5" w:rsidP="006703BB">
            <w:pPr>
              <w:spacing w:after="120"/>
              <w:rPr>
                <w:rFonts w:eastAsiaTheme="minorHAnsi" w:cstheme="minorBidi"/>
                <w:bCs/>
                <w:sz w:val="24"/>
                <w:szCs w:val="24"/>
                <w:lang w:eastAsia="en-US"/>
              </w:rPr>
            </w:pPr>
            <w:r w:rsidRPr="006A0299">
              <w:rPr>
                <w:rFonts w:eastAsiaTheme="minorHAnsi" w:cstheme="minorBidi"/>
                <w:bCs/>
                <w:sz w:val="24"/>
                <w:szCs w:val="24"/>
                <w:lang w:eastAsia="en-US"/>
              </w:rPr>
              <w:t>2013</w:t>
            </w:r>
          </w:p>
        </w:tc>
        <w:tc>
          <w:tcPr>
            <w:tcW w:w="1524" w:type="dxa"/>
            <w:shd w:val="clear" w:color="auto" w:fill="F7CAAC" w:themeFill="accent2" w:themeFillTint="66"/>
          </w:tcPr>
          <w:p w14:paraId="5A95F07A" w14:textId="77777777" w:rsidR="00216BD5" w:rsidRPr="006A0299" w:rsidRDefault="00216BD5" w:rsidP="006703BB">
            <w:pPr>
              <w:spacing w:after="120"/>
              <w:jc w:val="center"/>
              <w:rPr>
                <w:rFonts w:eastAsiaTheme="minorHAnsi" w:cstheme="minorBidi"/>
                <w:sz w:val="24"/>
                <w:szCs w:val="24"/>
                <w:lang w:eastAsia="en-US"/>
              </w:rPr>
            </w:pPr>
            <w:r w:rsidRPr="006A0299">
              <w:rPr>
                <w:rFonts w:eastAsiaTheme="minorHAnsi" w:cstheme="minorBidi"/>
                <w:sz w:val="24"/>
                <w:szCs w:val="24"/>
                <w:lang w:eastAsia="en-US"/>
              </w:rPr>
              <w:t>250</w:t>
            </w:r>
          </w:p>
        </w:tc>
        <w:tc>
          <w:tcPr>
            <w:tcW w:w="1984" w:type="dxa"/>
            <w:shd w:val="clear" w:color="auto" w:fill="F7CAAC" w:themeFill="accent2" w:themeFillTint="66"/>
          </w:tcPr>
          <w:p w14:paraId="4537644B" w14:textId="77777777" w:rsidR="00216BD5" w:rsidRPr="006A0299" w:rsidRDefault="00216BD5" w:rsidP="006703BB">
            <w:pPr>
              <w:spacing w:after="120"/>
              <w:jc w:val="center"/>
              <w:rPr>
                <w:rFonts w:eastAsiaTheme="minorHAnsi" w:cstheme="minorBidi"/>
                <w:sz w:val="24"/>
                <w:szCs w:val="24"/>
                <w:lang w:eastAsia="en-US"/>
              </w:rPr>
            </w:pPr>
            <w:r w:rsidRPr="006A0299">
              <w:rPr>
                <w:rFonts w:eastAsiaTheme="minorHAnsi" w:cstheme="minorBidi"/>
                <w:sz w:val="24"/>
                <w:szCs w:val="24"/>
                <w:lang w:eastAsia="en-US"/>
              </w:rPr>
              <w:t>258</w:t>
            </w:r>
          </w:p>
        </w:tc>
        <w:tc>
          <w:tcPr>
            <w:tcW w:w="1843" w:type="dxa"/>
            <w:shd w:val="clear" w:color="auto" w:fill="F7CAAC" w:themeFill="accent2" w:themeFillTint="66"/>
          </w:tcPr>
          <w:p w14:paraId="790F6144" w14:textId="77777777" w:rsidR="00216BD5" w:rsidRPr="006A0299" w:rsidRDefault="00216BD5" w:rsidP="006703BB">
            <w:pPr>
              <w:spacing w:after="120"/>
              <w:jc w:val="center"/>
              <w:rPr>
                <w:rFonts w:eastAsiaTheme="minorHAnsi" w:cstheme="minorBidi"/>
                <w:sz w:val="24"/>
                <w:szCs w:val="24"/>
                <w:lang w:eastAsia="en-US"/>
              </w:rPr>
            </w:pPr>
            <w:r w:rsidRPr="006A0299">
              <w:rPr>
                <w:rFonts w:eastAsiaTheme="minorHAnsi" w:cstheme="minorBidi"/>
                <w:sz w:val="24"/>
                <w:szCs w:val="24"/>
                <w:lang w:eastAsia="en-US"/>
              </w:rPr>
              <w:t>293</w:t>
            </w:r>
          </w:p>
        </w:tc>
        <w:tc>
          <w:tcPr>
            <w:tcW w:w="3118" w:type="dxa"/>
            <w:shd w:val="clear" w:color="auto" w:fill="F7CAAC" w:themeFill="accent2" w:themeFillTint="66"/>
          </w:tcPr>
          <w:p w14:paraId="5E136D9B" w14:textId="77777777" w:rsidR="00216BD5" w:rsidRPr="006A0299" w:rsidRDefault="00216BD5" w:rsidP="006703BB">
            <w:pPr>
              <w:spacing w:after="120"/>
              <w:jc w:val="center"/>
              <w:rPr>
                <w:rFonts w:eastAsiaTheme="minorHAnsi" w:cstheme="minorBidi"/>
                <w:sz w:val="24"/>
                <w:szCs w:val="24"/>
                <w:lang w:eastAsia="en-US"/>
              </w:rPr>
            </w:pPr>
            <w:r w:rsidRPr="006A0299">
              <w:rPr>
                <w:rFonts w:eastAsiaTheme="minorHAnsi" w:cstheme="minorBidi"/>
                <w:sz w:val="24"/>
                <w:szCs w:val="24"/>
                <w:lang w:eastAsia="en-US"/>
              </w:rPr>
              <w:t>78</w:t>
            </w:r>
          </w:p>
        </w:tc>
      </w:tr>
      <w:tr w:rsidR="00216BD5" w:rsidRPr="006A0299" w14:paraId="7B48D5E5" w14:textId="77777777" w:rsidTr="006703BB">
        <w:tc>
          <w:tcPr>
            <w:tcW w:w="709" w:type="dxa"/>
            <w:shd w:val="clear" w:color="auto" w:fill="F7CAAC" w:themeFill="accent2" w:themeFillTint="66"/>
          </w:tcPr>
          <w:p w14:paraId="5A3B5856" w14:textId="77777777" w:rsidR="00216BD5" w:rsidRPr="006A0299" w:rsidRDefault="00216BD5" w:rsidP="006703BB">
            <w:pPr>
              <w:spacing w:after="120"/>
              <w:rPr>
                <w:rFonts w:eastAsiaTheme="minorHAnsi" w:cstheme="minorBidi"/>
                <w:b/>
                <w:bCs/>
                <w:sz w:val="24"/>
                <w:szCs w:val="24"/>
                <w:lang w:eastAsia="en-US"/>
              </w:rPr>
            </w:pPr>
            <w:r w:rsidRPr="006A0299">
              <w:rPr>
                <w:rFonts w:eastAsiaTheme="minorHAnsi" w:cstheme="minorBidi"/>
                <w:b/>
                <w:bCs/>
                <w:sz w:val="24"/>
                <w:szCs w:val="24"/>
                <w:lang w:eastAsia="en-US"/>
              </w:rPr>
              <w:t>2014</w:t>
            </w:r>
          </w:p>
        </w:tc>
        <w:tc>
          <w:tcPr>
            <w:tcW w:w="1524" w:type="dxa"/>
            <w:shd w:val="clear" w:color="auto" w:fill="F7CAAC" w:themeFill="accent2" w:themeFillTint="66"/>
          </w:tcPr>
          <w:p w14:paraId="31B8CA36" w14:textId="77777777" w:rsidR="00216BD5" w:rsidRPr="006A0299" w:rsidRDefault="00216BD5" w:rsidP="006703BB">
            <w:pPr>
              <w:spacing w:after="120"/>
              <w:jc w:val="center"/>
              <w:rPr>
                <w:rFonts w:eastAsiaTheme="minorHAnsi" w:cstheme="minorBidi"/>
                <w:b/>
                <w:sz w:val="24"/>
                <w:szCs w:val="24"/>
                <w:lang w:eastAsia="en-US"/>
              </w:rPr>
            </w:pPr>
            <w:r w:rsidRPr="006A0299">
              <w:rPr>
                <w:rFonts w:eastAsiaTheme="minorHAnsi" w:cstheme="minorBidi"/>
                <w:b/>
                <w:sz w:val="24"/>
                <w:szCs w:val="24"/>
                <w:lang w:eastAsia="en-US"/>
              </w:rPr>
              <w:t>333</w:t>
            </w:r>
          </w:p>
        </w:tc>
        <w:tc>
          <w:tcPr>
            <w:tcW w:w="1984" w:type="dxa"/>
            <w:shd w:val="clear" w:color="auto" w:fill="F7CAAC" w:themeFill="accent2" w:themeFillTint="66"/>
          </w:tcPr>
          <w:p w14:paraId="193253D5" w14:textId="77777777" w:rsidR="00216BD5" w:rsidRPr="006A0299" w:rsidRDefault="00216BD5" w:rsidP="006703BB">
            <w:pPr>
              <w:spacing w:after="120"/>
              <w:jc w:val="center"/>
              <w:rPr>
                <w:rFonts w:eastAsiaTheme="minorHAnsi" w:cstheme="minorBidi"/>
                <w:b/>
                <w:sz w:val="24"/>
                <w:szCs w:val="24"/>
                <w:lang w:eastAsia="en-US"/>
              </w:rPr>
            </w:pPr>
            <w:r w:rsidRPr="006A0299">
              <w:rPr>
                <w:rFonts w:eastAsiaTheme="minorHAnsi" w:cstheme="minorBidi"/>
                <w:b/>
                <w:sz w:val="24"/>
                <w:szCs w:val="24"/>
                <w:lang w:eastAsia="en-US"/>
              </w:rPr>
              <w:t>301</w:t>
            </w:r>
          </w:p>
        </w:tc>
        <w:tc>
          <w:tcPr>
            <w:tcW w:w="1843" w:type="dxa"/>
            <w:shd w:val="clear" w:color="auto" w:fill="F7CAAC" w:themeFill="accent2" w:themeFillTint="66"/>
          </w:tcPr>
          <w:p w14:paraId="3AC6E088" w14:textId="77777777" w:rsidR="00216BD5" w:rsidRPr="006A0299" w:rsidRDefault="00216BD5" w:rsidP="006703BB">
            <w:pPr>
              <w:spacing w:after="120"/>
              <w:jc w:val="center"/>
              <w:rPr>
                <w:rFonts w:eastAsiaTheme="minorHAnsi" w:cstheme="minorBidi"/>
                <w:b/>
                <w:sz w:val="24"/>
                <w:szCs w:val="24"/>
                <w:lang w:eastAsia="en-US"/>
              </w:rPr>
            </w:pPr>
            <w:r w:rsidRPr="006A0299">
              <w:rPr>
                <w:rFonts w:eastAsiaTheme="minorHAnsi" w:cstheme="minorBidi"/>
                <w:b/>
                <w:sz w:val="24"/>
                <w:szCs w:val="24"/>
                <w:lang w:eastAsia="en-US"/>
              </w:rPr>
              <w:t>430</w:t>
            </w:r>
          </w:p>
        </w:tc>
        <w:tc>
          <w:tcPr>
            <w:tcW w:w="3118" w:type="dxa"/>
            <w:shd w:val="clear" w:color="auto" w:fill="F7CAAC" w:themeFill="accent2" w:themeFillTint="66"/>
          </w:tcPr>
          <w:p w14:paraId="7AA08630" w14:textId="77777777" w:rsidR="00216BD5" w:rsidRPr="006A0299" w:rsidRDefault="00216BD5" w:rsidP="006703BB">
            <w:pPr>
              <w:spacing w:after="120"/>
              <w:jc w:val="center"/>
              <w:rPr>
                <w:rFonts w:eastAsiaTheme="minorHAnsi" w:cstheme="minorBidi"/>
                <w:b/>
                <w:sz w:val="24"/>
                <w:szCs w:val="24"/>
                <w:lang w:eastAsia="en-US"/>
              </w:rPr>
            </w:pPr>
            <w:r w:rsidRPr="006A0299">
              <w:rPr>
                <w:rFonts w:eastAsiaTheme="minorHAnsi" w:cstheme="minorBidi"/>
                <w:b/>
                <w:sz w:val="24"/>
                <w:szCs w:val="24"/>
                <w:lang w:eastAsia="en-US"/>
              </w:rPr>
              <w:t>70</w:t>
            </w:r>
          </w:p>
        </w:tc>
      </w:tr>
    </w:tbl>
    <w:p w14:paraId="3442B923" w14:textId="77777777" w:rsidR="00216BD5" w:rsidRPr="006A0299" w:rsidRDefault="00216BD5" w:rsidP="00216BD5">
      <w:pPr>
        <w:spacing w:after="120"/>
        <w:jc w:val="left"/>
        <w:rPr>
          <w:rFonts w:eastAsiaTheme="minorHAnsi" w:cstheme="minorBidi"/>
          <w:sz w:val="24"/>
          <w:szCs w:val="24"/>
          <w:lang w:eastAsia="en-US"/>
        </w:rPr>
      </w:pPr>
    </w:p>
    <w:p w14:paraId="7EC552CC" w14:textId="77777777" w:rsidR="00216BD5" w:rsidRPr="00703168" w:rsidRDefault="00216BD5" w:rsidP="00216BD5">
      <w:pPr>
        <w:spacing w:after="120"/>
        <w:rPr>
          <w:rFonts w:eastAsiaTheme="minorHAnsi" w:cstheme="minorBidi"/>
          <w:lang w:eastAsia="en-US"/>
        </w:rPr>
      </w:pPr>
      <w:r w:rsidRPr="00703168">
        <w:rPr>
          <w:rFonts w:eastAsiaTheme="minorHAnsi" w:cstheme="minorBidi"/>
          <w:lang w:eastAsia="en-US"/>
        </w:rPr>
        <w:t xml:space="preserve">Graf č. </w:t>
      </w:r>
      <w:r>
        <w:rPr>
          <w:rFonts w:eastAsiaTheme="minorHAnsi" w:cstheme="minorBidi"/>
          <w:lang w:eastAsia="en-US"/>
        </w:rPr>
        <w:t>4</w:t>
      </w:r>
      <w:r w:rsidRPr="00703168">
        <w:rPr>
          <w:rFonts w:eastAsiaTheme="minorHAnsi" w:cstheme="minorBidi"/>
          <w:lang w:eastAsia="en-US"/>
        </w:rPr>
        <w:t>: Grafické znázornenie krajín, ktoré v roku 2014 najčastejšie požiadali FSJ o poskytnutie informácií</w:t>
      </w:r>
    </w:p>
    <w:p w14:paraId="73064934" w14:textId="77777777" w:rsidR="00216BD5" w:rsidRDefault="00216BD5" w:rsidP="00216BD5">
      <w:pPr>
        <w:spacing w:after="120"/>
        <w:rPr>
          <w:rFonts w:eastAsiaTheme="minorHAnsi" w:cstheme="minorBidi"/>
          <w:sz w:val="24"/>
          <w:szCs w:val="24"/>
          <w:lang w:eastAsia="en-US"/>
        </w:rPr>
      </w:pPr>
      <w:r w:rsidRPr="006A0299">
        <w:rPr>
          <w:rFonts w:eastAsiaTheme="minorHAnsi" w:cstheme="minorBidi"/>
          <w:noProof/>
          <w:sz w:val="24"/>
          <w:szCs w:val="24"/>
        </w:rPr>
        <w:drawing>
          <wp:inline distT="0" distB="0" distL="0" distR="0" wp14:anchorId="4696A71F" wp14:editId="5D27CB82">
            <wp:extent cx="5721350" cy="3003550"/>
            <wp:effectExtent l="0" t="0" r="12700" b="25400"/>
            <wp:docPr id="9"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333BB6" w14:textId="77777777" w:rsidR="00216BD5" w:rsidRDefault="00216BD5" w:rsidP="00216BD5">
      <w:pPr>
        <w:rPr>
          <w:rFonts w:eastAsiaTheme="minorHAnsi" w:cstheme="minorBidi"/>
          <w:sz w:val="24"/>
          <w:szCs w:val="24"/>
          <w:lang w:eastAsia="en-US"/>
        </w:rPr>
      </w:pPr>
    </w:p>
    <w:p w14:paraId="6F869DA4" w14:textId="77777777" w:rsidR="00216BD5" w:rsidRPr="006A0299" w:rsidRDefault="00216BD5" w:rsidP="001D6C41">
      <w:pPr>
        <w:rPr>
          <w:rFonts w:eastAsiaTheme="minorHAnsi" w:cstheme="minorBidi"/>
          <w:sz w:val="24"/>
          <w:szCs w:val="24"/>
          <w:lang w:eastAsia="en-US"/>
        </w:rPr>
      </w:pPr>
      <w:r w:rsidRPr="00703168">
        <w:rPr>
          <w:rFonts w:eastAsiaTheme="minorHAnsi" w:cstheme="minorBidi"/>
          <w:lang w:eastAsia="en-US"/>
        </w:rPr>
        <w:lastRenderedPageBreak/>
        <w:t xml:space="preserve">Graf č. </w:t>
      </w:r>
      <w:r>
        <w:rPr>
          <w:rFonts w:eastAsiaTheme="minorHAnsi" w:cstheme="minorBidi"/>
          <w:lang w:eastAsia="en-US"/>
        </w:rPr>
        <w:t>5</w:t>
      </w:r>
      <w:r w:rsidRPr="00703168">
        <w:rPr>
          <w:rFonts w:eastAsiaTheme="minorHAnsi" w:cstheme="minorBidi"/>
          <w:lang w:eastAsia="en-US"/>
        </w:rPr>
        <w:t>: Grafické znázornenie krajín, ktorým FSJ v roku 2014 najčastejšie zaslala ž</w:t>
      </w:r>
      <w:r>
        <w:rPr>
          <w:rFonts w:eastAsiaTheme="minorHAnsi" w:cstheme="minorBidi"/>
          <w:lang w:eastAsia="en-US"/>
        </w:rPr>
        <w:t>iadosť o poskytnutie informácií</w:t>
      </w:r>
      <w:r w:rsidRPr="006A0299">
        <w:rPr>
          <w:rFonts w:eastAsiaTheme="minorHAnsi" w:cstheme="minorBidi"/>
          <w:noProof/>
          <w:sz w:val="24"/>
          <w:szCs w:val="24"/>
        </w:rPr>
        <w:drawing>
          <wp:inline distT="0" distB="0" distL="0" distR="0" wp14:anchorId="4AA2D90B" wp14:editId="77FFF45D">
            <wp:extent cx="5797550" cy="2870200"/>
            <wp:effectExtent l="0" t="0" r="12700" b="25400"/>
            <wp:docPr id="2" name="Graf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A5A8555" w14:textId="77777777" w:rsidR="00216BD5" w:rsidRDefault="00216BD5" w:rsidP="001D6C41">
      <w:pPr>
        <w:rPr>
          <w:rFonts w:eastAsiaTheme="minorHAnsi" w:cstheme="minorBidi"/>
          <w:lang w:eastAsia="en-US"/>
        </w:rPr>
      </w:pPr>
    </w:p>
    <w:p w14:paraId="1DB9BECF" w14:textId="77777777" w:rsidR="00216BD5" w:rsidRPr="00487E09" w:rsidRDefault="00216BD5" w:rsidP="001D6C41">
      <w:pPr>
        <w:rPr>
          <w:rFonts w:eastAsiaTheme="minorHAnsi" w:cstheme="minorBidi"/>
          <w:lang w:eastAsia="en-US"/>
        </w:rPr>
      </w:pPr>
      <w:r w:rsidRPr="00487E09">
        <w:rPr>
          <w:rFonts w:eastAsiaTheme="minorHAnsi" w:cstheme="minorBidi"/>
          <w:lang w:eastAsia="en-US"/>
        </w:rPr>
        <w:t>Graf č. 6: Grafické znázornenie krajín, ktorým FSJ v roku 2014 najčastejšie zaslala spontánne informácie</w:t>
      </w:r>
      <w:r>
        <w:rPr>
          <w:rFonts w:eastAsiaTheme="minorHAnsi" w:cstheme="minorBidi"/>
          <w:lang w:eastAsia="en-US"/>
        </w:rPr>
        <w:t xml:space="preserve"> využiteľné </w:t>
      </w:r>
      <w:r w:rsidRPr="00487E09">
        <w:rPr>
          <w:rFonts w:eastAsiaTheme="minorHAnsi" w:cstheme="minorBidi"/>
          <w:lang w:eastAsia="en-US"/>
        </w:rPr>
        <w:t>pre zahraničné FIU</w:t>
      </w:r>
    </w:p>
    <w:p w14:paraId="79D9D620" w14:textId="77777777" w:rsidR="00216BD5" w:rsidRDefault="00216BD5" w:rsidP="001D6C41">
      <w:pPr>
        <w:rPr>
          <w:rFonts w:eastAsiaTheme="minorHAnsi" w:cstheme="minorBidi"/>
          <w:sz w:val="24"/>
          <w:szCs w:val="24"/>
          <w:lang w:eastAsia="en-US"/>
        </w:rPr>
      </w:pPr>
      <w:r w:rsidRPr="006A0299">
        <w:rPr>
          <w:rFonts w:eastAsiaTheme="minorHAnsi" w:cstheme="minorBidi"/>
          <w:noProof/>
          <w:sz w:val="24"/>
          <w:szCs w:val="24"/>
        </w:rPr>
        <w:drawing>
          <wp:inline distT="0" distB="0" distL="0" distR="0" wp14:anchorId="535C1065" wp14:editId="09F31433">
            <wp:extent cx="5753100" cy="3397250"/>
            <wp:effectExtent l="0" t="0" r="19050" b="12700"/>
            <wp:docPr id="10" name="Obj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4F87C0B" w14:textId="77777777" w:rsidR="00216BD5" w:rsidRPr="006A0299" w:rsidRDefault="00216BD5" w:rsidP="001D6C41">
      <w:pPr>
        <w:rPr>
          <w:rFonts w:eastAsiaTheme="minorHAnsi" w:cstheme="minorBidi"/>
          <w:sz w:val="24"/>
          <w:szCs w:val="24"/>
          <w:lang w:eastAsia="en-US"/>
        </w:rPr>
      </w:pPr>
    </w:p>
    <w:p w14:paraId="3BBB738F" w14:textId="77777777" w:rsidR="00216BD5" w:rsidRPr="006A0299"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Na základe uvedených štatistických údajov možno konštatovať, že počet žiadost</w:t>
      </w:r>
      <w:r>
        <w:rPr>
          <w:rFonts w:eastAsiaTheme="minorHAnsi" w:cstheme="minorBidi"/>
          <w:sz w:val="24"/>
          <w:szCs w:val="24"/>
          <w:lang w:eastAsia="en-US"/>
        </w:rPr>
        <w:t>í</w:t>
      </w:r>
      <w:r w:rsidRPr="006A0299">
        <w:rPr>
          <w:rFonts w:eastAsiaTheme="minorHAnsi" w:cstheme="minorBidi"/>
          <w:sz w:val="24"/>
          <w:szCs w:val="24"/>
          <w:lang w:eastAsia="en-US"/>
        </w:rPr>
        <w:t xml:space="preserve"> o informácie zaslané do zahraničia alebo naopak zo zahraničia našej FSJ, má stúpajúcu tendenciu, čo možno pripisovať tomu, že medzinárodný organizovaný zločin a legalizácia príjmov z trestnej činnosti je dnes globálnou záležitosťou.</w:t>
      </w:r>
      <w:r>
        <w:rPr>
          <w:rFonts w:eastAsiaTheme="minorHAnsi" w:cstheme="minorBidi"/>
          <w:sz w:val="24"/>
          <w:szCs w:val="24"/>
          <w:lang w:eastAsia="en-US"/>
        </w:rPr>
        <w:t xml:space="preserve"> </w:t>
      </w:r>
    </w:p>
    <w:p w14:paraId="214D0C51" w14:textId="77777777" w:rsidR="00216BD5" w:rsidRPr="006A0299" w:rsidRDefault="00216BD5" w:rsidP="00216BD5">
      <w:pPr>
        <w:spacing w:after="24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FSJ patrí v oblasti medzinárodnej spolupráce k pomerne aktívnym FIU, výrazne sa podieľajúcich na rozvoji medzinárodnej spolupráce v boji proti legalizácii príjmov z trestnej či</w:t>
      </w:r>
      <w:r>
        <w:rPr>
          <w:rFonts w:eastAsiaTheme="minorHAnsi" w:cstheme="minorBidi"/>
          <w:sz w:val="24"/>
          <w:szCs w:val="24"/>
          <w:lang w:eastAsia="en-US"/>
        </w:rPr>
        <w:t xml:space="preserve">nnosti a financovania terorizmu. Podľa </w:t>
      </w:r>
      <w:r w:rsidRPr="00A64BF9">
        <w:rPr>
          <w:rFonts w:eastAsiaTheme="minorHAnsi" w:cstheme="minorBidi"/>
          <w:sz w:val="24"/>
          <w:szCs w:val="24"/>
          <w:lang w:eastAsia="en-US"/>
        </w:rPr>
        <w:t xml:space="preserve">dostupných </w:t>
      </w:r>
      <w:r>
        <w:rPr>
          <w:rFonts w:eastAsiaTheme="minorHAnsi" w:cstheme="minorBidi"/>
          <w:sz w:val="24"/>
          <w:szCs w:val="24"/>
          <w:lang w:eastAsia="en-US"/>
        </w:rPr>
        <w:t xml:space="preserve">štatistických údajov zverejnených na stránke </w:t>
      </w:r>
      <w:hyperlink r:id="rId23" w:history="1">
        <w:r w:rsidRPr="00786EA8">
          <w:rPr>
            <w:rStyle w:val="Hypertextovprepojenie"/>
            <w:rFonts w:eastAsiaTheme="minorHAnsi" w:cstheme="minorBidi"/>
            <w:sz w:val="24"/>
            <w:szCs w:val="24"/>
            <w:lang w:eastAsia="en-US"/>
          </w:rPr>
          <w:t>www.fiu.net</w:t>
        </w:r>
      </w:hyperlink>
      <w:r>
        <w:rPr>
          <w:rFonts w:eastAsiaTheme="minorHAnsi" w:cstheme="minorBidi"/>
          <w:sz w:val="24"/>
          <w:szCs w:val="24"/>
          <w:lang w:eastAsia="en-US"/>
        </w:rPr>
        <w:t>, týkajúcich sa</w:t>
      </w:r>
      <w:r w:rsidRPr="006A0299">
        <w:rPr>
          <w:rFonts w:eastAsiaTheme="minorHAnsi" w:cstheme="minorBidi"/>
          <w:sz w:val="24"/>
          <w:szCs w:val="24"/>
          <w:lang w:eastAsia="en-US"/>
        </w:rPr>
        <w:t xml:space="preserve"> zaslaných žiadostí a doplňujúcich dožiadaní prostredníctvom počítačovej siete FIU.NET </w:t>
      </w:r>
      <w:r>
        <w:rPr>
          <w:rFonts w:eastAsiaTheme="minorHAnsi" w:cstheme="minorBidi"/>
          <w:sz w:val="24"/>
          <w:szCs w:val="24"/>
          <w:lang w:eastAsia="en-US"/>
        </w:rPr>
        <w:t>sa</w:t>
      </w:r>
      <w:r w:rsidRPr="006A0299">
        <w:rPr>
          <w:rFonts w:eastAsiaTheme="minorHAnsi" w:cstheme="minorBidi"/>
          <w:sz w:val="24"/>
          <w:szCs w:val="24"/>
          <w:lang w:eastAsia="en-US"/>
        </w:rPr>
        <w:t xml:space="preserve"> FSJ</w:t>
      </w:r>
      <w:r>
        <w:rPr>
          <w:rFonts w:eastAsiaTheme="minorHAnsi" w:cstheme="minorBidi"/>
          <w:sz w:val="24"/>
          <w:szCs w:val="24"/>
          <w:lang w:eastAsia="en-US"/>
        </w:rPr>
        <w:t xml:space="preserve"> za obdobie prvých desiatich mesiacov </w:t>
      </w:r>
      <w:r>
        <w:rPr>
          <w:rFonts w:eastAsiaTheme="minorHAnsi" w:cstheme="minorBidi"/>
          <w:sz w:val="24"/>
          <w:szCs w:val="24"/>
          <w:lang w:eastAsia="en-US"/>
        </w:rPr>
        <w:lastRenderedPageBreak/>
        <w:t xml:space="preserve">roku 2014 umiestnila  </w:t>
      </w:r>
      <w:r w:rsidRPr="006A0299">
        <w:rPr>
          <w:rFonts w:eastAsiaTheme="minorHAnsi" w:cstheme="minorBidi"/>
          <w:sz w:val="24"/>
          <w:szCs w:val="24"/>
          <w:lang w:eastAsia="en-US"/>
        </w:rPr>
        <w:t xml:space="preserve">na 4. mieste </w:t>
      </w:r>
      <w:r>
        <w:rPr>
          <w:rFonts w:eastAsiaTheme="minorHAnsi" w:cstheme="minorBidi"/>
          <w:sz w:val="24"/>
          <w:szCs w:val="24"/>
          <w:lang w:eastAsia="en-US"/>
        </w:rPr>
        <w:t xml:space="preserve">(s počtom 985 odoslaných žiadostí  a 71 prijatých žiadostí) </w:t>
      </w:r>
      <w:r w:rsidRPr="006A0299">
        <w:rPr>
          <w:rFonts w:eastAsiaTheme="minorHAnsi" w:cstheme="minorBidi"/>
          <w:sz w:val="24"/>
          <w:szCs w:val="24"/>
          <w:lang w:eastAsia="en-US"/>
        </w:rPr>
        <w:t xml:space="preserve">z 26 aktívne pripojených FIU. </w:t>
      </w:r>
    </w:p>
    <w:p w14:paraId="23DE5153"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Pri hodnotení činnosti oddelenia medzinárodnej spolupráce vykonávanej v roku 2014 je nezanedbateľná tiež spolupráca s oddelením preverovania majetku pri plnení úloh vyplývajúcich FSJ z rozhodnutia Rady Európskej únie č. 2007/845/SVV</w:t>
      </w:r>
      <w:r w:rsidRPr="005D49BB">
        <w:rPr>
          <w:rFonts w:eastAsiaTheme="minorHAnsi" w:cstheme="minorBidi"/>
          <w:sz w:val="24"/>
          <w:szCs w:val="24"/>
          <w:lang w:eastAsia="en-US"/>
        </w:rPr>
        <w:t>.</w:t>
      </w:r>
      <w:r w:rsidRPr="006A0299">
        <w:rPr>
          <w:rFonts w:eastAsiaTheme="minorHAnsi" w:cstheme="minorBidi"/>
          <w:sz w:val="24"/>
          <w:szCs w:val="24"/>
          <w:lang w:eastAsia="en-US"/>
        </w:rPr>
        <w:t xml:space="preserve"> </w:t>
      </w:r>
    </w:p>
    <w:p w14:paraId="22E2A516" w14:textId="77777777" w:rsidR="00216BD5" w:rsidRPr="006A0299"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 xml:space="preserve">Na účinný boj s cezhraničnou organizovanou trestnou činnosťou, ktorej hlavným motívom je finančný prospech, ktorý dáva podnet na páchanie ďalšej trestnej činnosti s cieľom dosiahnuť ešte väčší zisk, je potrebné, aby si krajiny rýchlo vymieňali informácie, ktoré môžu viesť k vypátraniu a zaisteniu príjmov z trestnej činnosti a iného majetku </w:t>
      </w:r>
      <w:r>
        <w:rPr>
          <w:rFonts w:eastAsiaTheme="minorHAnsi" w:cstheme="minorBidi"/>
          <w:sz w:val="24"/>
          <w:szCs w:val="24"/>
          <w:lang w:eastAsia="en-US"/>
        </w:rPr>
        <w:t>nadobudnutého z nelegálnych príjmov.</w:t>
      </w:r>
      <w:r w:rsidRPr="006A0299">
        <w:rPr>
          <w:rFonts w:eastAsiaTheme="minorHAnsi" w:cstheme="minorBidi"/>
          <w:sz w:val="24"/>
          <w:szCs w:val="24"/>
          <w:lang w:eastAsia="en-US"/>
        </w:rPr>
        <w:t xml:space="preserve"> Aj v tomto ohľade FSJ považuje medzinárodnú spoluprácu za významný predpoklad</w:t>
      </w:r>
      <w:r>
        <w:rPr>
          <w:rFonts w:eastAsiaTheme="minorHAnsi" w:cstheme="minorBidi"/>
          <w:sz w:val="24"/>
          <w:szCs w:val="24"/>
          <w:lang w:eastAsia="en-US"/>
        </w:rPr>
        <w:t xml:space="preserve"> </w:t>
      </w:r>
      <w:r w:rsidRPr="006A0299">
        <w:rPr>
          <w:rFonts w:eastAsiaTheme="minorHAnsi" w:cstheme="minorBidi"/>
          <w:sz w:val="24"/>
          <w:szCs w:val="24"/>
          <w:lang w:eastAsia="en-US"/>
        </w:rPr>
        <w:t>efektívnej činnosti v oblasti boja proti legalizácií príjmov z trestnej činnosti a financovania terorizmu tak na národnej ako aj na medzinárodnej úrovni.</w:t>
      </w:r>
    </w:p>
    <w:p w14:paraId="6BE3FEDA" w14:textId="77777777" w:rsidR="00216BD5" w:rsidRPr="006A0299"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 xml:space="preserve"> Medzi ďalšie dôležité aktivity FSJ v medzinárodnej oblasti patrila aktívna účasť pracovníkov oddelenia medzinárodnej spolupráce na </w:t>
      </w:r>
      <w:r>
        <w:rPr>
          <w:rFonts w:eastAsiaTheme="minorHAnsi" w:cstheme="minorBidi"/>
          <w:sz w:val="24"/>
          <w:szCs w:val="24"/>
          <w:lang w:eastAsia="en-US"/>
        </w:rPr>
        <w:t>rokovaniach pracovných skupín a </w:t>
      </w:r>
      <w:r w:rsidRPr="006A0299">
        <w:rPr>
          <w:rFonts w:eastAsiaTheme="minorHAnsi" w:cstheme="minorBidi"/>
          <w:sz w:val="24"/>
          <w:szCs w:val="24"/>
          <w:lang w:eastAsia="en-US"/>
        </w:rPr>
        <w:t>výborov Európskej komisie, Rady Európy a pod., predovšetkým:</w:t>
      </w:r>
    </w:p>
    <w:p w14:paraId="24B4E470" w14:textId="77777777" w:rsidR="00216BD5" w:rsidRPr="006A0299" w:rsidRDefault="00216BD5" w:rsidP="00216BD5">
      <w:pPr>
        <w:numPr>
          <w:ilvl w:val="0"/>
          <w:numId w:val="5"/>
        </w:numPr>
        <w:spacing w:after="120"/>
        <w:rPr>
          <w:rFonts w:eastAsiaTheme="minorHAnsi" w:cstheme="minorBidi"/>
          <w:sz w:val="24"/>
          <w:szCs w:val="24"/>
          <w:lang w:eastAsia="en-US"/>
        </w:rPr>
      </w:pPr>
      <w:r w:rsidRPr="006A0299">
        <w:rPr>
          <w:rFonts w:eastAsiaTheme="minorHAnsi" w:cstheme="minorBidi"/>
          <w:sz w:val="24"/>
          <w:szCs w:val="24"/>
          <w:lang w:eastAsia="en-US"/>
        </w:rPr>
        <w:t>Výbor na prevenciu proti praniu špinavých peňazí a financovan</w:t>
      </w:r>
      <w:r>
        <w:rPr>
          <w:rFonts w:eastAsiaTheme="minorHAnsi" w:cstheme="minorBidi"/>
          <w:sz w:val="24"/>
          <w:szCs w:val="24"/>
          <w:lang w:eastAsia="en-US"/>
        </w:rPr>
        <w:t>iu</w:t>
      </w:r>
      <w:r w:rsidRPr="006A0299">
        <w:rPr>
          <w:rFonts w:eastAsiaTheme="minorHAnsi" w:cstheme="minorBidi"/>
          <w:sz w:val="24"/>
          <w:szCs w:val="24"/>
          <w:lang w:eastAsia="en-US"/>
        </w:rPr>
        <w:t xml:space="preserve"> terorizmu, ktorý je podvýborom Európskej komisie, DG Internal Market and Services,</w:t>
      </w:r>
    </w:p>
    <w:p w14:paraId="4AAC5E19" w14:textId="77777777" w:rsidR="00216BD5" w:rsidRPr="006A0299" w:rsidRDefault="00216BD5" w:rsidP="00216BD5">
      <w:pPr>
        <w:numPr>
          <w:ilvl w:val="0"/>
          <w:numId w:val="5"/>
        </w:numPr>
        <w:spacing w:after="120"/>
        <w:rPr>
          <w:rFonts w:eastAsiaTheme="minorHAnsi" w:cstheme="minorBidi"/>
          <w:sz w:val="24"/>
          <w:szCs w:val="24"/>
          <w:lang w:eastAsia="en-US"/>
        </w:rPr>
      </w:pPr>
      <w:r w:rsidRPr="006A0299">
        <w:rPr>
          <w:rFonts w:eastAsiaTheme="minorHAnsi" w:cstheme="minorBidi"/>
          <w:sz w:val="24"/>
          <w:szCs w:val="24"/>
          <w:lang w:eastAsia="en-US"/>
        </w:rPr>
        <w:t xml:space="preserve">FIU platforma, ktorá je podvýborom Európskej komisie, DG Justice, Freedom and Security a ktorá združuje FIU členských štátov </w:t>
      </w:r>
      <w:r>
        <w:rPr>
          <w:rFonts w:eastAsiaTheme="minorHAnsi" w:cstheme="minorBidi"/>
          <w:sz w:val="24"/>
          <w:szCs w:val="24"/>
          <w:lang w:eastAsia="en-US"/>
        </w:rPr>
        <w:t>Európskej únie</w:t>
      </w:r>
      <w:r w:rsidRPr="006A0299">
        <w:rPr>
          <w:rFonts w:eastAsiaTheme="minorHAnsi" w:cstheme="minorBidi"/>
          <w:sz w:val="24"/>
          <w:szCs w:val="24"/>
          <w:lang w:eastAsia="en-US"/>
        </w:rPr>
        <w:t>,</w:t>
      </w:r>
    </w:p>
    <w:p w14:paraId="51A2D4E0" w14:textId="77777777" w:rsidR="00216BD5" w:rsidRPr="006A0299" w:rsidRDefault="00216BD5" w:rsidP="00216BD5">
      <w:pPr>
        <w:numPr>
          <w:ilvl w:val="0"/>
          <w:numId w:val="5"/>
        </w:numPr>
        <w:spacing w:after="120"/>
        <w:rPr>
          <w:rFonts w:eastAsiaTheme="minorHAnsi" w:cstheme="minorBidi"/>
          <w:sz w:val="24"/>
          <w:szCs w:val="24"/>
          <w:lang w:eastAsia="en-US"/>
        </w:rPr>
      </w:pPr>
      <w:r w:rsidRPr="006A0299">
        <w:rPr>
          <w:rFonts w:eastAsiaTheme="minorHAnsi" w:cstheme="minorBidi"/>
          <w:sz w:val="24"/>
          <w:szCs w:val="24"/>
          <w:lang w:eastAsia="en-US"/>
        </w:rPr>
        <w:t>Zasadnutie Konferencie zmluvných strán</w:t>
      </w:r>
      <w:r>
        <w:rPr>
          <w:rFonts w:eastAsiaTheme="minorHAnsi" w:cstheme="minorBidi"/>
          <w:sz w:val="24"/>
          <w:szCs w:val="24"/>
          <w:lang w:eastAsia="en-US"/>
        </w:rPr>
        <w:t xml:space="preserve"> </w:t>
      </w:r>
      <w:r w:rsidRPr="006A0299">
        <w:rPr>
          <w:rFonts w:eastAsiaTheme="minorHAnsi" w:cstheme="minorBidi"/>
          <w:sz w:val="24"/>
          <w:szCs w:val="24"/>
          <w:lang w:eastAsia="en-US"/>
        </w:rPr>
        <w:t>Dohovoru Rady Európy č. 198/2005 o praní špinavých peňazí, vyhľadávaní, zaistení a konfiškácii ziskov z trestnej činnosti a o financovaní terorizmu,</w:t>
      </w:r>
    </w:p>
    <w:p w14:paraId="6ECD6F83" w14:textId="77777777" w:rsidR="00216BD5" w:rsidRDefault="00216BD5" w:rsidP="00216BD5">
      <w:pPr>
        <w:numPr>
          <w:ilvl w:val="0"/>
          <w:numId w:val="5"/>
        </w:numPr>
        <w:spacing w:after="120"/>
        <w:rPr>
          <w:rFonts w:eastAsiaTheme="minorHAnsi" w:cstheme="minorBidi"/>
          <w:sz w:val="24"/>
          <w:szCs w:val="24"/>
          <w:lang w:eastAsia="en-US"/>
        </w:rPr>
      </w:pPr>
      <w:r w:rsidRPr="006A0299">
        <w:rPr>
          <w:rFonts w:eastAsiaTheme="minorHAnsi" w:cstheme="minorBidi"/>
          <w:sz w:val="24"/>
          <w:szCs w:val="24"/>
          <w:lang w:eastAsia="en-US"/>
        </w:rPr>
        <w:t>Výbor expertov Rady Európy pre hodnotenie opatrení v boji proti praniu špinavých peňazí a financovaniu terorizmu – MONEYVAL.</w:t>
      </w:r>
    </w:p>
    <w:p w14:paraId="5A3BE222" w14:textId="77777777" w:rsidR="00216BD5" w:rsidRPr="006A0299" w:rsidRDefault="00216BD5" w:rsidP="00216BD5">
      <w:pPr>
        <w:spacing w:after="120"/>
        <w:ind w:left="720"/>
        <w:rPr>
          <w:rFonts w:eastAsiaTheme="minorHAnsi" w:cstheme="minorBidi"/>
          <w:sz w:val="24"/>
          <w:szCs w:val="24"/>
          <w:lang w:eastAsia="en-US"/>
        </w:rPr>
      </w:pPr>
    </w:p>
    <w:p w14:paraId="465F219F"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V rámci posilnenia kvalitnej medzinárodnej spolupráce sa každoročne organizujú regionálne workshopy pre susedské partnerské finančné spravodajské jednotky Rakúska, Českej republiky, Maďarska, Poľska a Slovenskej republiky, ktorých sa pravidelne zúčastňujú vybran</w:t>
      </w:r>
      <w:r>
        <w:rPr>
          <w:rFonts w:eastAsiaTheme="minorHAnsi" w:cstheme="minorBidi"/>
          <w:sz w:val="24"/>
          <w:szCs w:val="24"/>
          <w:lang w:eastAsia="en-US"/>
        </w:rPr>
        <w:t>í</w:t>
      </w:r>
      <w:r w:rsidRPr="006A0299">
        <w:rPr>
          <w:rFonts w:eastAsiaTheme="minorHAnsi" w:cstheme="minorBidi"/>
          <w:sz w:val="24"/>
          <w:szCs w:val="24"/>
          <w:lang w:eastAsia="en-US"/>
        </w:rPr>
        <w:t xml:space="preserve"> zástupcovia z FIU predmetných krajín. </w:t>
      </w:r>
    </w:p>
    <w:p w14:paraId="4A99A07C" w14:textId="77777777" w:rsidR="00216BD5" w:rsidRPr="006A0299"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6A0299">
        <w:rPr>
          <w:rFonts w:eastAsiaTheme="minorHAnsi" w:cstheme="minorBidi"/>
          <w:sz w:val="24"/>
          <w:szCs w:val="24"/>
          <w:lang w:eastAsia="en-US"/>
        </w:rPr>
        <w:t xml:space="preserve">V roku 2014 sa dané stretnutie konalo na základe pozvánky FIU Poľsko a ako hlavné témy stretnutia boli jednotlivými účastníkmi prezentované témy: „Karuselové daňové podvody pri obchodovaní s palivom“ a „Problematika virtuálnej meny“. Na stretnutí boli prediskutované aj ďalšie naliehavé otázky týkajúce sa činnosti predmetných </w:t>
      </w:r>
      <w:r>
        <w:rPr>
          <w:rFonts w:eastAsiaTheme="minorHAnsi" w:cstheme="minorBidi"/>
          <w:sz w:val="24"/>
          <w:szCs w:val="24"/>
          <w:lang w:eastAsia="en-US"/>
        </w:rPr>
        <w:t>FIU</w:t>
      </w:r>
      <w:r w:rsidRPr="006A0299">
        <w:rPr>
          <w:rFonts w:eastAsiaTheme="minorHAnsi" w:cstheme="minorBidi"/>
          <w:sz w:val="24"/>
          <w:szCs w:val="24"/>
          <w:lang w:eastAsia="en-US"/>
        </w:rPr>
        <w:t>, najmä zefektívnenia vzájomnej spolupráce pri výmene informácií, nakoľko vzhľadom na meniacu sa povahu hrozieb prania špinavých peňazí a financovania terorizmu podporovaných neustálym rozvojom technológií a prostriedkov, ktoré majú páchatelia trestných činov k dispozícii, sa</w:t>
      </w:r>
      <w:r>
        <w:rPr>
          <w:rFonts w:eastAsiaTheme="minorHAnsi" w:cstheme="minorBidi"/>
          <w:sz w:val="24"/>
          <w:szCs w:val="24"/>
          <w:lang w:eastAsia="en-US"/>
        </w:rPr>
        <w:t> </w:t>
      </w:r>
      <w:r w:rsidRPr="006A0299">
        <w:rPr>
          <w:rFonts w:eastAsiaTheme="minorHAnsi" w:cstheme="minorBidi"/>
          <w:sz w:val="24"/>
          <w:szCs w:val="24"/>
          <w:lang w:eastAsia="en-US"/>
        </w:rPr>
        <w:t>vyžaduje neustále napredovanie v reakcii na tieto hrozby.</w:t>
      </w:r>
    </w:p>
    <w:p w14:paraId="02AE9915" w14:textId="77777777" w:rsidR="00216BD5" w:rsidRDefault="00216BD5" w:rsidP="00216BD5">
      <w:pPr>
        <w:spacing w:after="120"/>
        <w:rPr>
          <w:rFonts w:eastAsiaTheme="minorHAnsi" w:cstheme="minorBidi"/>
          <w:sz w:val="24"/>
          <w:szCs w:val="24"/>
          <w:lang w:eastAsia="en-US"/>
        </w:rPr>
      </w:pPr>
    </w:p>
    <w:p w14:paraId="7F335A8B" w14:textId="77777777" w:rsidR="00216BD5" w:rsidRPr="00477BD4" w:rsidRDefault="00216BD5" w:rsidP="00216BD5">
      <w:pPr>
        <w:pStyle w:val="Nzovkapitoly"/>
        <w:rPr>
          <w:rFonts w:eastAsiaTheme="minorHAnsi"/>
          <w:lang w:eastAsia="en-US"/>
        </w:rPr>
      </w:pPr>
      <w:bookmarkStart w:id="11" w:name="_Toc412466391"/>
      <w:r>
        <w:rPr>
          <w:rFonts w:eastAsiaTheme="minorHAnsi"/>
          <w:lang w:eastAsia="en-US"/>
        </w:rPr>
        <w:t>5</w:t>
      </w:r>
      <w:r w:rsidRPr="00477BD4">
        <w:rPr>
          <w:rFonts w:eastAsiaTheme="minorHAnsi"/>
          <w:lang w:eastAsia="en-US"/>
        </w:rPr>
        <w:t>.</w:t>
      </w:r>
      <w:r>
        <w:rPr>
          <w:rFonts w:eastAsiaTheme="minorHAnsi"/>
          <w:lang w:eastAsia="en-US"/>
        </w:rPr>
        <w:t xml:space="preserve"> Finančné a </w:t>
      </w:r>
      <w:r w:rsidRPr="00477BD4">
        <w:rPr>
          <w:rFonts w:eastAsiaTheme="minorHAnsi"/>
          <w:lang w:eastAsia="en-US"/>
        </w:rPr>
        <w:t>majetkové preverovanie</w:t>
      </w:r>
      <w:bookmarkEnd w:id="11"/>
    </w:p>
    <w:p w14:paraId="7025953C" w14:textId="77777777" w:rsidR="00216BD5" w:rsidRPr="00477BD4" w:rsidRDefault="00216BD5" w:rsidP="00216BD5">
      <w:pPr>
        <w:rPr>
          <w:rFonts w:eastAsiaTheme="minorHAnsi" w:cstheme="minorBidi"/>
          <w:b/>
          <w:sz w:val="24"/>
          <w:szCs w:val="24"/>
          <w:lang w:eastAsia="en-US"/>
        </w:rPr>
      </w:pPr>
    </w:p>
    <w:p w14:paraId="6CDB109C" w14:textId="77777777" w:rsidR="00216BD5" w:rsidRPr="001C1386"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Na základe interných predpisov národnej kriminálnej agentúry Prezídia Policajného zboru (ďalej len „NAKA P PZ“) bolo plnenie úloh v oblasti finančného a majetkového preverovania zverené oddeleniu preverovania majetku. </w:t>
      </w:r>
    </w:p>
    <w:p w14:paraId="2B192D94" w14:textId="77777777" w:rsidR="00216BD5" w:rsidRPr="00477BD4" w:rsidRDefault="00216BD5" w:rsidP="00216BD5">
      <w:pPr>
        <w:pStyle w:val="Podnadpis"/>
      </w:pPr>
      <w:bookmarkStart w:id="12" w:name="_Toc412466392"/>
      <w:r>
        <w:lastRenderedPageBreak/>
        <w:t>5</w:t>
      </w:r>
      <w:r w:rsidRPr="00477BD4">
        <w:t>.1</w:t>
      </w:r>
      <w:r>
        <w:t xml:space="preserve"> </w:t>
      </w:r>
      <w:r w:rsidRPr="00477BD4">
        <w:t>Finančné preverovanie, vyhľadávanie majetku</w:t>
      </w:r>
      <w:r>
        <w:t xml:space="preserve"> </w:t>
      </w:r>
      <w:r w:rsidRPr="00477BD4">
        <w:t>a vypracovanie majetkového</w:t>
      </w:r>
      <w:bookmarkStart w:id="13" w:name="_Toc412466393"/>
      <w:bookmarkEnd w:id="12"/>
      <w:r>
        <w:t xml:space="preserve"> </w:t>
      </w:r>
      <w:r w:rsidRPr="00477BD4">
        <w:t>profilu</w:t>
      </w:r>
      <w:bookmarkEnd w:id="13"/>
    </w:p>
    <w:p w14:paraId="7FF658CF" w14:textId="77777777" w:rsidR="00216BD5" w:rsidRPr="00477BD4" w:rsidRDefault="00216BD5" w:rsidP="00216BD5">
      <w:pPr>
        <w:spacing w:after="120"/>
        <w:rPr>
          <w:rFonts w:eastAsiaTheme="minorHAnsi" w:cstheme="minorBidi"/>
          <w:sz w:val="24"/>
          <w:szCs w:val="24"/>
          <w:lang w:eastAsia="en-US"/>
        </w:rPr>
      </w:pPr>
    </w:p>
    <w:p w14:paraId="28B9F96F"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V zmysle článku 1 </w:t>
      </w:r>
      <w:r w:rsidRPr="005D49BB">
        <w:rPr>
          <w:rFonts w:eastAsiaTheme="minorHAnsi" w:cstheme="minorBidi"/>
          <w:sz w:val="24"/>
          <w:szCs w:val="24"/>
          <w:lang w:eastAsia="en-US"/>
        </w:rPr>
        <w:t>rozhodnuti</w:t>
      </w:r>
      <w:r>
        <w:rPr>
          <w:rFonts w:eastAsiaTheme="minorHAnsi" w:cstheme="minorBidi"/>
          <w:sz w:val="24"/>
          <w:szCs w:val="24"/>
          <w:lang w:eastAsia="en-US"/>
        </w:rPr>
        <w:t xml:space="preserve">a Rady č. 2007/845/SVV </w:t>
      </w:r>
      <w:r w:rsidRPr="00477BD4">
        <w:rPr>
          <w:rFonts w:eastAsiaTheme="minorHAnsi" w:cstheme="minorBidi"/>
          <w:sz w:val="24"/>
          <w:szCs w:val="24"/>
          <w:lang w:eastAsia="en-US"/>
        </w:rPr>
        <w:t xml:space="preserve">bolo potrebné, aby každý členský štát zriadil, alebo určil vnútroštátny úrad pre vyhľadávanie majetku na účely zjednodušenia vypátrania a identifikácie príjmov z trestnej činnosti a iného majetku súvisiaceho s trestnou činnosťou, ktorý môže byť predmetom príkazu vydaného príslušným justičným orgánom na jeho zmrazenie, zaistenie, alebo konfiškáciu v priebehu trestného konania. </w:t>
      </w:r>
    </w:p>
    <w:p w14:paraId="01A2D0F3"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Určeným vnútroštátnym úradom pre vyhľadávanie majetku (Asset Recovery Office, ďalej len „ARO“)</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je od októbra 2008 FSJ (v uvedenej dobe ešte ako Spravodajská jednotka finančnej polície úradu boja proti organizovanej kriminalite Prezídia </w:t>
      </w:r>
      <w:r>
        <w:rPr>
          <w:rFonts w:eastAsiaTheme="minorHAnsi" w:cstheme="minorBidi"/>
          <w:sz w:val="24"/>
          <w:szCs w:val="24"/>
          <w:lang w:eastAsia="en-US"/>
        </w:rPr>
        <w:t>P</w:t>
      </w:r>
      <w:r w:rsidRPr="00477BD4">
        <w:rPr>
          <w:rFonts w:eastAsiaTheme="minorHAnsi" w:cstheme="minorBidi"/>
          <w:sz w:val="24"/>
          <w:szCs w:val="24"/>
          <w:lang w:eastAsia="en-US"/>
        </w:rPr>
        <w:t>olicajného zboru), v rámci ktorej uvedenú činnosť vykonáva oddelenie preverovania majetku. Toto oddelenie je</w:t>
      </w:r>
      <w:r>
        <w:rPr>
          <w:rFonts w:eastAsiaTheme="minorHAnsi" w:cstheme="minorBidi"/>
          <w:sz w:val="24"/>
          <w:szCs w:val="24"/>
          <w:lang w:eastAsia="en-US"/>
        </w:rPr>
        <w:t> </w:t>
      </w:r>
      <w:r w:rsidRPr="00477BD4">
        <w:rPr>
          <w:rFonts w:eastAsiaTheme="minorHAnsi" w:cstheme="minorBidi"/>
          <w:sz w:val="24"/>
          <w:szCs w:val="24"/>
          <w:lang w:eastAsia="en-US"/>
        </w:rPr>
        <w:t xml:space="preserve">výkonným operatívnym útvarom realizujúcim úlohy vyplývajúce </w:t>
      </w:r>
      <w:r w:rsidRPr="000D41FA">
        <w:rPr>
          <w:rFonts w:eastAsiaTheme="minorHAnsi" w:cstheme="minorBidi"/>
          <w:sz w:val="24"/>
          <w:szCs w:val="24"/>
          <w:lang w:eastAsia="en-US"/>
        </w:rPr>
        <w:t>z rozhodnutia Rady č. 2007/845/SVV na základe uplatnenia postupov a lehôt v zmysle rámcového rozhodnutia Rady č. 2006/960/SVV</w:t>
      </w:r>
      <w:r w:rsidRPr="00477BD4">
        <w:rPr>
          <w:rFonts w:eastAsiaTheme="minorHAnsi" w:cstheme="minorBidi"/>
          <w:sz w:val="24"/>
          <w:szCs w:val="24"/>
          <w:lang w:eastAsia="en-US"/>
        </w:rPr>
        <w:t>, v ktorom sú zadefinované pravidlá na vykonanie a zabezpečovanie</w:t>
      </w:r>
      <w:r>
        <w:rPr>
          <w:rFonts w:eastAsiaTheme="minorHAnsi" w:cstheme="minorBidi"/>
          <w:sz w:val="24"/>
          <w:szCs w:val="24"/>
          <w:lang w:eastAsia="en-US"/>
        </w:rPr>
        <w:t xml:space="preserve"> </w:t>
      </w:r>
      <w:r w:rsidRPr="00477BD4">
        <w:rPr>
          <w:rFonts w:eastAsiaTheme="minorHAnsi" w:cstheme="minorBidi"/>
          <w:sz w:val="24"/>
          <w:szCs w:val="24"/>
          <w:lang w:eastAsia="en-US"/>
        </w:rPr>
        <w:t>podkladov a informácií pre</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potreby členov medzinárodnej siete agentúr, zaoberajúcich sa cezhraničnou identifikáciou, zmrazením, zaisťovaním a konfiškáciou príjmov z trestnej činnosti a iného majetku súvisiaceho s trestnou činnosťou. </w:t>
      </w:r>
    </w:p>
    <w:p w14:paraId="5E36A18A" w14:textId="77777777" w:rsidR="00216BD5"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Medzi základné úlohy, ktoré oddelenie preverovania majetku uskutočňuje v zmysle postupov vyplývajúcich z rámcového rozhodnutia Rady č. </w:t>
      </w:r>
      <w:r w:rsidRPr="000D41FA">
        <w:rPr>
          <w:rFonts w:eastAsiaTheme="minorHAnsi" w:cstheme="minorBidi"/>
          <w:sz w:val="24"/>
          <w:szCs w:val="24"/>
          <w:lang w:eastAsia="en-US"/>
        </w:rPr>
        <w:t>2006/960</w:t>
      </w:r>
      <w:r w:rsidRPr="00477BD4">
        <w:rPr>
          <w:rFonts w:eastAsiaTheme="minorHAnsi" w:cstheme="minorBidi"/>
          <w:sz w:val="24"/>
          <w:szCs w:val="24"/>
          <w:lang w:eastAsia="en-US"/>
        </w:rPr>
        <w:t xml:space="preserve">/SVV, patrí spolupráca a výmena informácií a spravodajských informácií medzi </w:t>
      </w:r>
      <w:r>
        <w:rPr>
          <w:rFonts w:eastAsiaTheme="minorHAnsi" w:cstheme="minorBidi"/>
          <w:sz w:val="24"/>
          <w:szCs w:val="24"/>
          <w:lang w:eastAsia="en-US"/>
        </w:rPr>
        <w:t>partnerskými</w:t>
      </w:r>
      <w:r w:rsidRPr="00477BD4">
        <w:rPr>
          <w:rFonts w:eastAsiaTheme="minorHAnsi" w:cstheme="minorBidi"/>
          <w:sz w:val="24"/>
          <w:szCs w:val="24"/>
          <w:lang w:eastAsia="en-US"/>
        </w:rPr>
        <w:t xml:space="preserve"> ARO</w:t>
      </w:r>
      <w:r>
        <w:rPr>
          <w:rFonts w:eastAsiaTheme="minorHAnsi" w:cstheme="minorBidi"/>
          <w:sz w:val="24"/>
          <w:szCs w:val="24"/>
          <w:lang w:eastAsia="en-US"/>
        </w:rPr>
        <w:t xml:space="preserve"> členských štátov Európskej únie,</w:t>
      </w:r>
      <w:r w:rsidRPr="00477BD4">
        <w:rPr>
          <w:rFonts w:eastAsiaTheme="minorHAnsi" w:cstheme="minorBidi"/>
          <w:sz w:val="24"/>
          <w:szCs w:val="24"/>
          <w:lang w:eastAsia="en-US"/>
        </w:rPr>
        <w:t xml:space="preserve"> ktorých poskytovanie sa obmedzuje na informácie považované za dôležité a potrebné pre úspešné odhaľovanie, predchádzanie alebo vyšetrovanie trestnej činnosti. Vzájomná komunikácia sa uskutočňuje prostredníctvom zabezpečených elektronických sietí a kanálu s vysokým prvkom ochrany proti zneužitiu, či únikom informácií – SIENA, prípadne formou elektronickej komunikácie</w:t>
      </w:r>
      <w:r>
        <w:rPr>
          <w:rFonts w:eastAsiaTheme="minorHAnsi" w:cstheme="minorBidi"/>
          <w:sz w:val="24"/>
          <w:szCs w:val="24"/>
          <w:lang w:eastAsia="en-US"/>
        </w:rPr>
        <w:t>.</w:t>
      </w:r>
    </w:p>
    <w:p w14:paraId="70E00BDD"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Výmena informácií a vzájomná spolupráca</w:t>
      </w:r>
      <w:r>
        <w:rPr>
          <w:rFonts w:eastAsiaTheme="minorHAnsi" w:cstheme="minorBidi"/>
          <w:sz w:val="24"/>
          <w:szCs w:val="24"/>
          <w:lang w:eastAsia="en-US"/>
        </w:rPr>
        <w:t xml:space="preserve"> </w:t>
      </w:r>
      <w:r w:rsidRPr="00477BD4">
        <w:rPr>
          <w:rFonts w:eastAsiaTheme="minorHAnsi" w:cstheme="minorBidi"/>
          <w:sz w:val="24"/>
          <w:szCs w:val="24"/>
          <w:lang w:eastAsia="en-US"/>
        </w:rPr>
        <w:t>s tretími krajinami je realizovaná prostredníctvom</w:t>
      </w:r>
      <w:r>
        <w:rPr>
          <w:rFonts w:eastAsiaTheme="minorHAnsi" w:cstheme="minorBidi"/>
          <w:sz w:val="24"/>
          <w:szCs w:val="24"/>
          <w:lang w:eastAsia="en-US"/>
        </w:rPr>
        <w:t xml:space="preserve"> </w:t>
      </w:r>
      <w:r w:rsidRPr="00477BD4">
        <w:rPr>
          <w:rFonts w:eastAsiaTheme="minorHAnsi" w:cstheme="minorBidi"/>
          <w:sz w:val="24"/>
          <w:szCs w:val="24"/>
          <w:lang w:eastAsia="en-US"/>
        </w:rPr>
        <w:t>Camdenskej medziagentúrnej siete pre vyhľadávanie majetku (Camden Asset Recovery Inter-Agency Network, ďalej len „CARIN“), ktorá tvorí</w:t>
      </w:r>
      <w:r>
        <w:rPr>
          <w:rFonts w:eastAsiaTheme="minorHAnsi" w:cstheme="minorBidi"/>
          <w:sz w:val="24"/>
          <w:szCs w:val="24"/>
          <w:lang w:eastAsia="en-US"/>
        </w:rPr>
        <w:t xml:space="preserve"> </w:t>
      </w:r>
      <w:r w:rsidRPr="00477BD4">
        <w:rPr>
          <w:rFonts w:eastAsiaTheme="minorHAnsi" w:cstheme="minorBidi"/>
          <w:sz w:val="24"/>
          <w:szCs w:val="24"/>
          <w:lang w:eastAsia="en-US"/>
        </w:rPr>
        <w:t>celosvetovú neformálnu</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sieť odborníkov a expertov s cieľom zlepšiť vzájomné poznatky o metodikách a technikách v oblasti cezhraničnej identifikácie, zmrazenia, zaistenia a konfiškácie príjmov z trestnej činnosti a iného majetku súvisiaceho z trestnou činnosťou. </w:t>
      </w:r>
    </w:p>
    <w:p w14:paraId="5E3415B2"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r>
      <w:r>
        <w:rPr>
          <w:rFonts w:eastAsiaTheme="minorHAnsi" w:cstheme="minorBidi"/>
          <w:sz w:val="24"/>
          <w:szCs w:val="24"/>
          <w:lang w:eastAsia="en-US"/>
        </w:rPr>
        <w:t>Oddelenie preverovania majetku</w:t>
      </w:r>
      <w:r w:rsidRPr="00477BD4">
        <w:rPr>
          <w:rFonts w:eastAsiaTheme="minorHAnsi" w:cstheme="minorBidi"/>
          <w:sz w:val="24"/>
          <w:szCs w:val="24"/>
          <w:lang w:eastAsia="en-US"/>
        </w:rPr>
        <w:t xml:space="preserve"> v rámci svojej činnosti vyhľadáva, sústreďuje, vyhodnocuje a využíva predovšetkým</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informácie z ekonomickej a finančnej oblasti dôležité na identifikáciu výnosov z trestnej činnosti, vyhľadáva a získava podklady, ktoré OČTK využívajú v ďalšom konaní smerujúcim k zhabaniu majetku. Vypracovanie majetkového profilu vykonáva oddelenie preverovania majetku pre OČTK za účelom dôsledného uplatňovania ustanovenia § 119 ods. 1 písm. f) </w:t>
      </w:r>
      <w:r w:rsidRPr="000D41FA">
        <w:rPr>
          <w:rFonts w:eastAsiaTheme="minorHAnsi" w:cstheme="minorBidi"/>
          <w:sz w:val="24"/>
          <w:szCs w:val="24"/>
          <w:lang w:eastAsia="en-US"/>
        </w:rPr>
        <w:t>Trestného poriadku</w:t>
      </w:r>
      <w:r w:rsidRPr="00477BD4">
        <w:rPr>
          <w:rFonts w:eastAsiaTheme="minorHAnsi" w:cstheme="minorBidi"/>
          <w:sz w:val="24"/>
          <w:szCs w:val="24"/>
          <w:lang w:eastAsia="en-US"/>
        </w:rPr>
        <w:t xml:space="preserve">, na základe ktorého je potrebné v trestnom konaní dokazovať aj príjmy z trestnej činnosti a prostriedky na jej spáchanie, ich umiestnenie, povahu stav a cenu, respektíve pre ďalšie účely vymedzené v Trestnom poriadku (zaistenie výkonu trestu, ochranného opatrenia, zaistenie nároku poškodeného v trestnom konaní). </w:t>
      </w:r>
    </w:p>
    <w:p w14:paraId="0F31239C"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V roku 2014 prijalo oddelenie preverovania majetku 92 žiadostí o vypracovanie</w:t>
      </w:r>
      <w:r>
        <w:rPr>
          <w:rFonts w:eastAsiaTheme="minorHAnsi" w:cstheme="minorBidi"/>
          <w:sz w:val="24"/>
          <w:szCs w:val="24"/>
          <w:lang w:eastAsia="en-US"/>
        </w:rPr>
        <w:t xml:space="preserve"> </w:t>
      </w:r>
      <w:r w:rsidRPr="00477BD4">
        <w:rPr>
          <w:rFonts w:eastAsiaTheme="minorHAnsi" w:cstheme="minorBidi"/>
          <w:sz w:val="24"/>
          <w:szCs w:val="24"/>
          <w:lang w:eastAsia="en-US"/>
        </w:rPr>
        <w:t>majetkového profilu pre OČTK a vyhľadanie majetku pre zahraničné útvary. Z uvedeného počtu bolo prijatých 13 žiadostí policajných zložiek SR o vypracovanie majetkového profilu (z toho v jednom prípade išlo o vlastné vypracovanie majetkového profilu pre účely plnenia úloh FSJ), pri vybavovaní ktorých bola využitá zahraničná spolupráca v štyroch prípadoch p</w:t>
      </w:r>
      <w:r>
        <w:rPr>
          <w:rFonts w:eastAsiaTheme="minorHAnsi" w:cstheme="minorBidi"/>
          <w:sz w:val="24"/>
          <w:szCs w:val="24"/>
          <w:lang w:eastAsia="en-US"/>
        </w:rPr>
        <w:t>rostredníctvom partnerských ARO a 1 žiadosť bola prijatá z krajskej prokuratúry.</w:t>
      </w:r>
      <w:r w:rsidRPr="00477BD4">
        <w:rPr>
          <w:rFonts w:eastAsiaTheme="minorHAnsi" w:cstheme="minorBidi"/>
          <w:sz w:val="24"/>
          <w:szCs w:val="24"/>
          <w:lang w:eastAsia="en-US"/>
        </w:rPr>
        <w:t xml:space="preserve"> </w:t>
      </w:r>
      <w:r>
        <w:rPr>
          <w:rFonts w:eastAsiaTheme="minorHAnsi" w:cstheme="minorBidi"/>
          <w:sz w:val="24"/>
          <w:szCs w:val="24"/>
          <w:lang w:eastAsia="en-US"/>
        </w:rPr>
        <w:lastRenderedPageBreak/>
        <w:tab/>
      </w:r>
      <w:r w:rsidRPr="000D41FA">
        <w:rPr>
          <w:rFonts w:eastAsiaTheme="minorHAnsi" w:cstheme="minorBidi"/>
          <w:sz w:val="24"/>
          <w:szCs w:val="24"/>
          <w:lang w:eastAsia="en-US"/>
        </w:rPr>
        <w:t>Z uvedených 12 žiadostí útvarov mimo FSJ bolo podaných celkovo 11 žiadostí OČTK o vypracovanie majetkového profilu, ktorých žiadateľom boli</w:t>
      </w:r>
      <w:r>
        <w:rPr>
          <w:rFonts w:eastAsiaTheme="minorHAnsi" w:cstheme="minorBidi"/>
          <w:sz w:val="24"/>
          <w:szCs w:val="24"/>
          <w:lang w:eastAsia="en-US"/>
        </w:rPr>
        <w:t xml:space="preserve"> </w:t>
      </w:r>
      <w:r w:rsidRPr="000D41FA">
        <w:rPr>
          <w:rFonts w:eastAsiaTheme="minorHAnsi" w:cstheme="minorBidi"/>
          <w:sz w:val="24"/>
          <w:szCs w:val="24"/>
          <w:lang w:eastAsia="en-US"/>
        </w:rPr>
        <w:t xml:space="preserve">jednotky </w:t>
      </w:r>
      <w:r>
        <w:rPr>
          <w:rFonts w:eastAsiaTheme="minorHAnsi" w:cstheme="minorBidi"/>
          <w:sz w:val="24"/>
          <w:szCs w:val="24"/>
          <w:lang w:eastAsia="en-US"/>
        </w:rPr>
        <w:t>národnej kriminálnej agentúry Prezídia PZ</w:t>
      </w:r>
      <w:r w:rsidRPr="000D41FA">
        <w:rPr>
          <w:rFonts w:eastAsiaTheme="minorHAnsi" w:cstheme="minorBidi"/>
          <w:sz w:val="24"/>
          <w:szCs w:val="24"/>
          <w:lang w:eastAsia="en-US"/>
        </w:rPr>
        <w:t xml:space="preserve"> (9 žiadostí z národnej protizločineckej jednotky – ďalej len „NPZJ“, po</w:t>
      </w:r>
      <w:r>
        <w:rPr>
          <w:rFonts w:eastAsiaTheme="minorHAnsi" w:cstheme="minorBidi"/>
          <w:sz w:val="24"/>
          <w:szCs w:val="24"/>
          <w:lang w:eastAsia="en-US"/>
        </w:rPr>
        <w:t> </w:t>
      </w:r>
      <w:r w:rsidRPr="000D41FA">
        <w:rPr>
          <w:rFonts w:eastAsiaTheme="minorHAnsi" w:cstheme="minorBidi"/>
          <w:sz w:val="24"/>
          <w:szCs w:val="24"/>
          <w:lang w:eastAsia="en-US"/>
        </w:rPr>
        <w:t>jednej žiadosti z</w:t>
      </w:r>
      <w:r>
        <w:rPr>
          <w:rFonts w:eastAsiaTheme="minorHAnsi" w:cstheme="minorBidi"/>
          <w:sz w:val="24"/>
          <w:szCs w:val="24"/>
          <w:lang w:eastAsia="en-US"/>
        </w:rPr>
        <w:t xml:space="preserve"> </w:t>
      </w:r>
      <w:r w:rsidRPr="000D41FA">
        <w:rPr>
          <w:rFonts w:eastAsiaTheme="minorHAnsi" w:cstheme="minorBidi"/>
          <w:sz w:val="24"/>
          <w:szCs w:val="24"/>
          <w:lang w:eastAsia="en-US"/>
        </w:rPr>
        <w:t>národnej protikorupčnej jednotky – ďalej len „NPKJ“ a národnej jednotky finančnej polície – ďalej len „NJFP“) a</w:t>
      </w:r>
      <w:r>
        <w:rPr>
          <w:rFonts w:eastAsiaTheme="minorHAnsi" w:cstheme="minorBidi"/>
          <w:sz w:val="24"/>
          <w:szCs w:val="24"/>
          <w:lang w:eastAsia="en-US"/>
        </w:rPr>
        <w:t xml:space="preserve"> </w:t>
      </w:r>
      <w:r w:rsidRPr="000D41FA">
        <w:rPr>
          <w:rFonts w:eastAsiaTheme="minorHAnsi" w:cstheme="minorBidi"/>
          <w:sz w:val="24"/>
          <w:szCs w:val="24"/>
          <w:lang w:eastAsia="en-US"/>
        </w:rPr>
        <w:t>v jednom prípade išlo o žiadosť z okresného riaditeľstva PZ.</w:t>
      </w:r>
    </w:p>
    <w:p w14:paraId="6B2FD842" w14:textId="77777777" w:rsidR="00216BD5" w:rsidRPr="00477BD4" w:rsidRDefault="00216BD5" w:rsidP="00216BD5">
      <w:pPr>
        <w:spacing w:after="240"/>
        <w:rPr>
          <w:rFonts w:eastAsiaTheme="minorHAnsi" w:cstheme="minorBidi"/>
          <w:lang w:eastAsia="en-US"/>
        </w:rPr>
      </w:pPr>
      <w:r w:rsidRPr="00477BD4">
        <w:rPr>
          <w:rFonts w:eastAsiaTheme="minorHAnsi" w:cstheme="minorBidi"/>
          <w:lang w:eastAsia="en-US"/>
        </w:rPr>
        <w:t>Tabuľka č.</w:t>
      </w:r>
      <w:r>
        <w:rPr>
          <w:rFonts w:eastAsiaTheme="minorHAnsi" w:cstheme="minorBidi"/>
          <w:lang w:eastAsia="en-US"/>
        </w:rPr>
        <w:t xml:space="preserve"> 15</w:t>
      </w:r>
      <w:r w:rsidRPr="00477BD4">
        <w:rPr>
          <w:rFonts w:eastAsiaTheme="minorHAnsi" w:cstheme="minorBidi"/>
          <w:lang w:eastAsia="en-US"/>
        </w:rPr>
        <w:t>: Prehľad žiadostí OČTK</w:t>
      </w:r>
      <w:r>
        <w:rPr>
          <w:rFonts w:eastAsiaTheme="minorHAnsi" w:cstheme="minorBidi"/>
          <w:lang w:eastAsia="en-US"/>
        </w:rPr>
        <w:t xml:space="preserve"> </w:t>
      </w:r>
      <w:r w:rsidRPr="00477BD4">
        <w:rPr>
          <w:rFonts w:eastAsiaTheme="minorHAnsi" w:cstheme="minorBidi"/>
          <w:lang w:eastAsia="en-US"/>
        </w:rPr>
        <w:t>o vypracovanie majetkového profilu na FSJ</w:t>
      </w:r>
      <w:r>
        <w:rPr>
          <w:rFonts w:eastAsiaTheme="minorHAnsi" w:cstheme="minorBidi"/>
          <w:lang w:eastAsia="en-US"/>
        </w:rPr>
        <w:t xml:space="preserve"> </w:t>
      </w:r>
      <w:r w:rsidRPr="00477BD4">
        <w:rPr>
          <w:rFonts w:eastAsiaTheme="minorHAnsi" w:cstheme="minorBidi"/>
          <w:lang w:eastAsia="en-US"/>
        </w:rPr>
        <w:t>v roku 2014</w:t>
      </w:r>
      <w:r w:rsidRPr="00477BD4">
        <w:rPr>
          <w:rFonts w:eastAsiaTheme="minorHAnsi" w:cstheme="minorBidi"/>
          <w:sz w:val="24"/>
          <w:szCs w:val="24"/>
          <w:lang w:eastAsia="en-US"/>
        </w:rPr>
        <w:tab/>
      </w:r>
    </w:p>
    <w:tbl>
      <w:tblPr>
        <w:tblStyle w:val="Mriekatabuky2"/>
        <w:tblW w:w="0" w:type="auto"/>
        <w:jc w:val="center"/>
        <w:tblLook w:val="04A0" w:firstRow="1" w:lastRow="0" w:firstColumn="1" w:lastColumn="0" w:noHBand="0" w:noVBand="1"/>
      </w:tblPr>
      <w:tblGrid>
        <w:gridCol w:w="1510"/>
        <w:gridCol w:w="1510"/>
        <w:gridCol w:w="1510"/>
        <w:gridCol w:w="1510"/>
        <w:gridCol w:w="1511"/>
        <w:gridCol w:w="1511"/>
      </w:tblGrid>
      <w:tr w:rsidR="00216BD5" w:rsidRPr="00477BD4" w14:paraId="78D27EA6" w14:textId="77777777" w:rsidTr="006703BB">
        <w:trPr>
          <w:jc w:val="center"/>
        </w:trPr>
        <w:tc>
          <w:tcPr>
            <w:tcW w:w="9062" w:type="dxa"/>
            <w:gridSpan w:val="6"/>
            <w:shd w:val="clear" w:color="auto" w:fill="F7CAAC" w:themeFill="accent2" w:themeFillTint="66"/>
            <w:vAlign w:val="center"/>
          </w:tcPr>
          <w:p w14:paraId="25884BD9" w14:textId="77777777" w:rsidR="00216BD5" w:rsidRPr="000959B8" w:rsidRDefault="00216BD5" w:rsidP="006703BB">
            <w:pPr>
              <w:spacing w:after="120"/>
              <w:jc w:val="center"/>
              <w:rPr>
                <w:rFonts w:eastAsiaTheme="minorHAnsi" w:cstheme="minorBidi"/>
                <w:b/>
                <w:sz w:val="24"/>
                <w:szCs w:val="24"/>
                <w:lang w:eastAsia="en-US"/>
              </w:rPr>
            </w:pPr>
            <w:r w:rsidRPr="000959B8">
              <w:rPr>
                <w:rFonts w:eastAsiaTheme="minorHAnsi" w:cstheme="minorBidi"/>
                <w:b/>
                <w:sz w:val="24"/>
                <w:szCs w:val="24"/>
                <w:lang w:eastAsia="en-US"/>
              </w:rPr>
              <w:t>Žiadosti OČTK o vypracovanie majetkového profilu za rok 2014</w:t>
            </w:r>
          </w:p>
        </w:tc>
      </w:tr>
      <w:tr w:rsidR="00216BD5" w:rsidRPr="00477BD4" w14:paraId="751AF15A" w14:textId="77777777" w:rsidTr="006703BB">
        <w:trPr>
          <w:jc w:val="center"/>
        </w:trPr>
        <w:tc>
          <w:tcPr>
            <w:tcW w:w="4530" w:type="dxa"/>
            <w:gridSpan w:val="3"/>
            <w:shd w:val="clear" w:color="auto" w:fill="FBE4D5" w:themeFill="accent2" w:themeFillTint="33"/>
          </w:tcPr>
          <w:p w14:paraId="3E5196B3"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Národná kriminálna agentúra P PZ</w:t>
            </w:r>
          </w:p>
        </w:tc>
        <w:tc>
          <w:tcPr>
            <w:tcW w:w="1510" w:type="dxa"/>
            <w:shd w:val="clear" w:color="auto" w:fill="FBE4D5" w:themeFill="accent2" w:themeFillTint="33"/>
          </w:tcPr>
          <w:p w14:paraId="5B0F162F"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Vlastná</w:t>
            </w:r>
          </w:p>
        </w:tc>
        <w:tc>
          <w:tcPr>
            <w:tcW w:w="3022" w:type="dxa"/>
            <w:gridSpan w:val="2"/>
            <w:shd w:val="clear" w:color="auto" w:fill="FBE4D5" w:themeFill="accent2" w:themeFillTint="33"/>
          </w:tcPr>
          <w:p w14:paraId="6CD2FC03"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Ostatné OČTK</w:t>
            </w:r>
          </w:p>
        </w:tc>
      </w:tr>
      <w:tr w:rsidR="00216BD5" w:rsidRPr="00477BD4" w14:paraId="2C86A2EC" w14:textId="77777777" w:rsidTr="006703BB">
        <w:trPr>
          <w:jc w:val="center"/>
        </w:trPr>
        <w:tc>
          <w:tcPr>
            <w:tcW w:w="1510" w:type="dxa"/>
            <w:shd w:val="clear" w:color="auto" w:fill="FBE4D5" w:themeFill="accent2" w:themeFillTint="33"/>
            <w:vAlign w:val="center"/>
          </w:tcPr>
          <w:p w14:paraId="25AA0A0D"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NJFP</w:t>
            </w:r>
          </w:p>
        </w:tc>
        <w:tc>
          <w:tcPr>
            <w:tcW w:w="1510" w:type="dxa"/>
            <w:shd w:val="clear" w:color="auto" w:fill="FBE4D5" w:themeFill="accent2" w:themeFillTint="33"/>
            <w:vAlign w:val="center"/>
          </w:tcPr>
          <w:p w14:paraId="07504E0C"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NPZJ</w:t>
            </w:r>
          </w:p>
        </w:tc>
        <w:tc>
          <w:tcPr>
            <w:tcW w:w="1510" w:type="dxa"/>
            <w:shd w:val="clear" w:color="auto" w:fill="FBE4D5" w:themeFill="accent2" w:themeFillTint="33"/>
            <w:vAlign w:val="center"/>
          </w:tcPr>
          <w:p w14:paraId="2ECED41D"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NPKJ</w:t>
            </w:r>
          </w:p>
        </w:tc>
        <w:tc>
          <w:tcPr>
            <w:tcW w:w="1510" w:type="dxa"/>
            <w:shd w:val="clear" w:color="auto" w:fill="FBE4D5" w:themeFill="accent2" w:themeFillTint="33"/>
            <w:vAlign w:val="center"/>
          </w:tcPr>
          <w:p w14:paraId="4FAC2763"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FSJ</w:t>
            </w:r>
          </w:p>
        </w:tc>
        <w:tc>
          <w:tcPr>
            <w:tcW w:w="1511" w:type="dxa"/>
            <w:shd w:val="clear" w:color="auto" w:fill="FBE4D5" w:themeFill="accent2" w:themeFillTint="33"/>
            <w:vAlign w:val="center"/>
          </w:tcPr>
          <w:p w14:paraId="1A6FEC6A"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OR PZ</w:t>
            </w:r>
          </w:p>
        </w:tc>
        <w:tc>
          <w:tcPr>
            <w:tcW w:w="1511" w:type="dxa"/>
            <w:shd w:val="clear" w:color="auto" w:fill="FBE4D5" w:themeFill="accent2" w:themeFillTint="33"/>
            <w:vAlign w:val="center"/>
          </w:tcPr>
          <w:p w14:paraId="52CD641E"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Krajská prokuratúra</w:t>
            </w:r>
          </w:p>
        </w:tc>
      </w:tr>
      <w:tr w:rsidR="00216BD5" w:rsidRPr="00477BD4" w14:paraId="4AC80EDB" w14:textId="77777777" w:rsidTr="006703BB">
        <w:trPr>
          <w:jc w:val="center"/>
        </w:trPr>
        <w:tc>
          <w:tcPr>
            <w:tcW w:w="1510" w:type="dxa"/>
            <w:shd w:val="clear" w:color="auto" w:fill="FBE4D5" w:themeFill="accent2" w:themeFillTint="33"/>
          </w:tcPr>
          <w:p w14:paraId="44251146"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w:t>
            </w:r>
          </w:p>
        </w:tc>
        <w:tc>
          <w:tcPr>
            <w:tcW w:w="1510" w:type="dxa"/>
            <w:shd w:val="clear" w:color="auto" w:fill="FBE4D5" w:themeFill="accent2" w:themeFillTint="33"/>
          </w:tcPr>
          <w:p w14:paraId="5D148697"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9</w:t>
            </w:r>
          </w:p>
        </w:tc>
        <w:tc>
          <w:tcPr>
            <w:tcW w:w="1510" w:type="dxa"/>
            <w:shd w:val="clear" w:color="auto" w:fill="FBE4D5" w:themeFill="accent2" w:themeFillTint="33"/>
          </w:tcPr>
          <w:p w14:paraId="777C38BA"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w:t>
            </w:r>
          </w:p>
        </w:tc>
        <w:tc>
          <w:tcPr>
            <w:tcW w:w="1510" w:type="dxa"/>
            <w:shd w:val="clear" w:color="auto" w:fill="FBE4D5" w:themeFill="accent2" w:themeFillTint="33"/>
          </w:tcPr>
          <w:p w14:paraId="73992AA8"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w:t>
            </w:r>
          </w:p>
        </w:tc>
        <w:tc>
          <w:tcPr>
            <w:tcW w:w="1511" w:type="dxa"/>
            <w:shd w:val="clear" w:color="auto" w:fill="FBE4D5" w:themeFill="accent2" w:themeFillTint="33"/>
          </w:tcPr>
          <w:p w14:paraId="56066F3C"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w:t>
            </w:r>
          </w:p>
        </w:tc>
        <w:tc>
          <w:tcPr>
            <w:tcW w:w="1511" w:type="dxa"/>
            <w:shd w:val="clear" w:color="auto" w:fill="FBE4D5" w:themeFill="accent2" w:themeFillTint="33"/>
          </w:tcPr>
          <w:p w14:paraId="4FE6228B"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w:t>
            </w:r>
          </w:p>
        </w:tc>
      </w:tr>
    </w:tbl>
    <w:p w14:paraId="77EEB1A9" w14:textId="77777777" w:rsidR="00216BD5"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Ostatných 78 žiadostí</w:t>
      </w:r>
      <w:r>
        <w:rPr>
          <w:rFonts w:eastAsiaTheme="minorHAnsi" w:cstheme="minorBidi"/>
          <w:sz w:val="24"/>
          <w:szCs w:val="24"/>
          <w:lang w:eastAsia="en-US"/>
        </w:rPr>
        <w:t xml:space="preserve"> </w:t>
      </w:r>
      <w:r w:rsidRPr="00477BD4">
        <w:rPr>
          <w:rFonts w:eastAsiaTheme="minorHAnsi" w:cstheme="minorBidi"/>
          <w:sz w:val="24"/>
          <w:szCs w:val="24"/>
          <w:lang w:eastAsia="en-US"/>
        </w:rPr>
        <w:t>oddelenie prijalo od zahraničných útvarov pre vyhľadávanie majetku. Jednalo sa o rôzne žiadosti k zisteniam majetku fyzických a právnických osôb, k identifikácii účtov, nehnuteľností či</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vozidiel na základe žiadostí celkovo 15 štátov. </w:t>
      </w:r>
      <w:r w:rsidRPr="000D41FA">
        <w:rPr>
          <w:rFonts w:eastAsiaTheme="minorHAnsi" w:cstheme="minorBidi"/>
          <w:sz w:val="24"/>
          <w:szCs w:val="24"/>
          <w:lang w:eastAsia="en-US"/>
        </w:rPr>
        <w:t>Najviac, 19 žiadostí bolo adresovaných z Maďarska, 17 z Českej republiky, 11 z Poľska, 6 žiadostí bolo prijatých z Rakúska a Ukrajiny, 4 z Talianska, 3 žiadosti z Belgicka a Francúzska, po</w:t>
      </w:r>
      <w:r>
        <w:rPr>
          <w:rFonts w:eastAsiaTheme="minorHAnsi" w:cstheme="minorBidi"/>
          <w:sz w:val="24"/>
          <w:szCs w:val="24"/>
          <w:lang w:eastAsia="en-US"/>
        </w:rPr>
        <w:t> </w:t>
      </w:r>
      <w:r w:rsidRPr="000D41FA">
        <w:rPr>
          <w:rFonts w:eastAsiaTheme="minorHAnsi" w:cstheme="minorBidi"/>
          <w:sz w:val="24"/>
          <w:szCs w:val="24"/>
          <w:lang w:eastAsia="en-US"/>
        </w:rPr>
        <w:t>dve žiadosti z Nemecka, Rumunska, Holandska a 1 žiadosť bola prijatá z Lotyšska, Dánska a Litvy.</w:t>
      </w:r>
      <w:r>
        <w:rPr>
          <w:rFonts w:eastAsiaTheme="minorHAnsi" w:cstheme="minorBidi"/>
          <w:sz w:val="24"/>
          <w:szCs w:val="24"/>
          <w:lang w:eastAsia="en-US"/>
        </w:rPr>
        <w:t xml:space="preserve"> </w:t>
      </w:r>
    </w:p>
    <w:p w14:paraId="1B2292E3" w14:textId="77777777" w:rsidR="00216BD5" w:rsidRPr="00477BD4" w:rsidRDefault="00216BD5" w:rsidP="00216BD5">
      <w:pPr>
        <w:spacing w:after="120"/>
        <w:rPr>
          <w:rFonts w:eastAsiaTheme="minorHAnsi" w:cstheme="minorBidi"/>
          <w:sz w:val="24"/>
          <w:szCs w:val="24"/>
          <w:lang w:eastAsia="en-US"/>
        </w:rPr>
      </w:pPr>
    </w:p>
    <w:p w14:paraId="1869D6EC"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lang w:eastAsia="en-US"/>
        </w:rPr>
        <w:t>Tabuľka č.</w:t>
      </w:r>
      <w:r>
        <w:rPr>
          <w:rFonts w:eastAsiaTheme="minorHAnsi" w:cstheme="minorBidi"/>
          <w:lang w:eastAsia="en-US"/>
        </w:rPr>
        <w:t xml:space="preserve"> 16</w:t>
      </w:r>
      <w:r w:rsidRPr="00477BD4">
        <w:rPr>
          <w:rFonts w:eastAsiaTheme="minorHAnsi" w:cstheme="minorBidi"/>
          <w:lang w:eastAsia="en-US"/>
        </w:rPr>
        <w:t>: Prehľad žiadostí od zahraničných útvarov pre vyhľadávanie majetku na FSJ v roku 2014</w:t>
      </w:r>
    </w:p>
    <w:tbl>
      <w:tblPr>
        <w:tblStyle w:val="Mriekatabuky2"/>
        <w:tblW w:w="9117" w:type="dxa"/>
        <w:tblLook w:val="04A0" w:firstRow="1" w:lastRow="0" w:firstColumn="1" w:lastColumn="0" w:noHBand="0" w:noVBand="1"/>
      </w:tblPr>
      <w:tblGrid>
        <w:gridCol w:w="1046"/>
        <w:gridCol w:w="972"/>
        <w:gridCol w:w="787"/>
        <w:gridCol w:w="916"/>
        <w:gridCol w:w="916"/>
        <w:gridCol w:w="1005"/>
        <w:gridCol w:w="939"/>
        <w:gridCol w:w="1138"/>
        <w:gridCol w:w="1398"/>
      </w:tblGrid>
      <w:tr w:rsidR="00216BD5" w:rsidRPr="00477BD4" w14:paraId="19DF917C" w14:textId="77777777" w:rsidTr="006703BB">
        <w:tc>
          <w:tcPr>
            <w:tcW w:w="9117" w:type="dxa"/>
            <w:gridSpan w:val="9"/>
            <w:shd w:val="clear" w:color="auto" w:fill="A8D08D" w:themeFill="accent6" w:themeFillTint="99"/>
          </w:tcPr>
          <w:p w14:paraId="2F66E803" w14:textId="77777777" w:rsidR="00216BD5" w:rsidRPr="000959B8" w:rsidRDefault="00216BD5" w:rsidP="006703BB">
            <w:pPr>
              <w:spacing w:after="120"/>
              <w:jc w:val="center"/>
              <w:rPr>
                <w:rFonts w:eastAsiaTheme="minorHAnsi" w:cstheme="minorBidi"/>
                <w:b/>
                <w:sz w:val="24"/>
                <w:szCs w:val="24"/>
                <w:lang w:eastAsia="en-US"/>
              </w:rPr>
            </w:pPr>
            <w:r w:rsidRPr="000959B8">
              <w:rPr>
                <w:rFonts w:eastAsiaTheme="minorHAnsi" w:cstheme="minorBidi"/>
                <w:b/>
                <w:sz w:val="24"/>
                <w:szCs w:val="24"/>
                <w:lang w:eastAsia="en-US"/>
              </w:rPr>
              <w:t>Žiadosti zahraničných útvarov podané v roku 2014</w:t>
            </w:r>
          </w:p>
        </w:tc>
      </w:tr>
      <w:tr w:rsidR="00216BD5" w:rsidRPr="00477BD4" w14:paraId="37CB4C2C" w14:textId="77777777" w:rsidTr="006703BB">
        <w:tc>
          <w:tcPr>
            <w:tcW w:w="1046" w:type="dxa"/>
            <w:shd w:val="clear" w:color="auto" w:fill="E2EFD9" w:themeFill="accent6" w:themeFillTint="33"/>
            <w:vAlign w:val="center"/>
          </w:tcPr>
          <w:p w14:paraId="30DD0615" w14:textId="77777777" w:rsidR="00216BD5" w:rsidRPr="00477BD4" w:rsidRDefault="00216BD5" w:rsidP="006703BB">
            <w:pPr>
              <w:spacing w:after="120"/>
              <w:rPr>
                <w:rFonts w:eastAsiaTheme="minorHAnsi" w:cstheme="minorBidi"/>
                <w:lang w:eastAsia="en-US"/>
              </w:rPr>
            </w:pPr>
            <w:r w:rsidRPr="00477BD4">
              <w:rPr>
                <w:rFonts w:eastAsiaTheme="minorHAnsi" w:cstheme="minorBidi"/>
                <w:lang w:eastAsia="en-US"/>
              </w:rPr>
              <w:t xml:space="preserve">Maďarsko </w:t>
            </w:r>
          </w:p>
        </w:tc>
        <w:tc>
          <w:tcPr>
            <w:tcW w:w="972" w:type="dxa"/>
            <w:shd w:val="clear" w:color="auto" w:fill="E2EFD9" w:themeFill="accent6" w:themeFillTint="33"/>
            <w:vAlign w:val="center"/>
          </w:tcPr>
          <w:p w14:paraId="2A3F2AC6" w14:textId="77777777" w:rsidR="00216BD5" w:rsidRPr="00477BD4" w:rsidRDefault="00216BD5" w:rsidP="006703BB">
            <w:pPr>
              <w:spacing w:after="120"/>
              <w:rPr>
                <w:rFonts w:eastAsiaTheme="minorHAnsi" w:cstheme="minorBidi"/>
                <w:lang w:eastAsia="en-US"/>
              </w:rPr>
            </w:pPr>
            <w:r w:rsidRPr="00477BD4">
              <w:rPr>
                <w:rFonts w:eastAsiaTheme="minorHAnsi" w:cstheme="minorBidi"/>
                <w:lang w:eastAsia="en-US"/>
              </w:rPr>
              <w:t>Česká republika</w:t>
            </w:r>
          </w:p>
        </w:tc>
        <w:tc>
          <w:tcPr>
            <w:tcW w:w="787" w:type="dxa"/>
            <w:shd w:val="clear" w:color="auto" w:fill="E2EFD9" w:themeFill="accent6" w:themeFillTint="33"/>
            <w:vAlign w:val="center"/>
          </w:tcPr>
          <w:p w14:paraId="5458AAEC" w14:textId="77777777" w:rsidR="00216BD5" w:rsidRPr="00477BD4" w:rsidRDefault="00216BD5" w:rsidP="006703BB">
            <w:pPr>
              <w:spacing w:after="120"/>
              <w:rPr>
                <w:rFonts w:eastAsiaTheme="minorHAnsi" w:cstheme="minorBidi"/>
                <w:lang w:eastAsia="en-US"/>
              </w:rPr>
            </w:pPr>
            <w:r w:rsidRPr="00477BD4">
              <w:rPr>
                <w:rFonts w:eastAsiaTheme="minorHAnsi" w:cstheme="minorBidi"/>
                <w:lang w:eastAsia="en-US"/>
              </w:rPr>
              <w:t>Poľsko</w:t>
            </w:r>
          </w:p>
        </w:tc>
        <w:tc>
          <w:tcPr>
            <w:tcW w:w="916" w:type="dxa"/>
            <w:shd w:val="clear" w:color="auto" w:fill="E2EFD9" w:themeFill="accent6" w:themeFillTint="33"/>
            <w:vAlign w:val="center"/>
          </w:tcPr>
          <w:p w14:paraId="68A1F407" w14:textId="77777777" w:rsidR="00216BD5" w:rsidRPr="00477BD4" w:rsidRDefault="00216BD5" w:rsidP="006703BB">
            <w:pPr>
              <w:spacing w:after="120"/>
              <w:rPr>
                <w:rFonts w:eastAsiaTheme="minorHAnsi" w:cstheme="minorBidi"/>
                <w:lang w:eastAsia="en-US"/>
              </w:rPr>
            </w:pPr>
            <w:r w:rsidRPr="00477BD4">
              <w:rPr>
                <w:rFonts w:eastAsiaTheme="minorHAnsi" w:cstheme="minorBidi"/>
                <w:lang w:eastAsia="en-US"/>
              </w:rPr>
              <w:t>Rakúsko</w:t>
            </w:r>
          </w:p>
        </w:tc>
        <w:tc>
          <w:tcPr>
            <w:tcW w:w="916" w:type="dxa"/>
            <w:shd w:val="clear" w:color="auto" w:fill="E2EFD9" w:themeFill="accent6" w:themeFillTint="33"/>
            <w:vAlign w:val="center"/>
          </w:tcPr>
          <w:p w14:paraId="281B97A5" w14:textId="77777777" w:rsidR="00216BD5" w:rsidRPr="00477BD4" w:rsidRDefault="00216BD5" w:rsidP="006703BB">
            <w:pPr>
              <w:spacing w:after="120"/>
              <w:rPr>
                <w:rFonts w:eastAsiaTheme="minorHAnsi" w:cstheme="minorBidi"/>
                <w:lang w:eastAsia="en-US"/>
              </w:rPr>
            </w:pPr>
            <w:r w:rsidRPr="00477BD4">
              <w:rPr>
                <w:rFonts w:eastAsiaTheme="minorHAnsi" w:cstheme="minorBidi"/>
                <w:lang w:eastAsia="en-US"/>
              </w:rPr>
              <w:t>Ukrajina</w:t>
            </w:r>
          </w:p>
        </w:tc>
        <w:tc>
          <w:tcPr>
            <w:tcW w:w="1005" w:type="dxa"/>
            <w:shd w:val="clear" w:color="auto" w:fill="E2EFD9" w:themeFill="accent6" w:themeFillTint="33"/>
            <w:vAlign w:val="center"/>
          </w:tcPr>
          <w:p w14:paraId="45956C62" w14:textId="77777777" w:rsidR="00216BD5" w:rsidRPr="00477BD4" w:rsidRDefault="00216BD5" w:rsidP="006703BB">
            <w:pPr>
              <w:spacing w:after="120"/>
              <w:rPr>
                <w:rFonts w:eastAsiaTheme="minorHAnsi" w:cstheme="minorBidi"/>
                <w:lang w:eastAsia="en-US"/>
              </w:rPr>
            </w:pPr>
            <w:r w:rsidRPr="00477BD4">
              <w:rPr>
                <w:rFonts w:eastAsiaTheme="minorHAnsi" w:cstheme="minorBidi"/>
                <w:lang w:eastAsia="en-US"/>
              </w:rPr>
              <w:t>Taliansko</w:t>
            </w:r>
          </w:p>
        </w:tc>
        <w:tc>
          <w:tcPr>
            <w:tcW w:w="939" w:type="dxa"/>
            <w:shd w:val="clear" w:color="auto" w:fill="E2EFD9" w:themeFill="accent6" w:themeFillTint="33"/>
            <w:vAlign w:val="center"/>
          </w:tcPr>
          <w:p w14:paraId="106BC478" w14:textId="77777777" w:rsidR="00216BD5" w:rsidRPr="00477BD4" w:rsidRDefault="00216BD5" w:rsidP="006703BB">
            <w:pPr>
              <w:spacing w:after="120"/>
              <w:rPr>
                <w:rFonts w:eastAsiaTheme="minorHAnsi" w:cstheme="minorBidi"/>
                <w:lang w:eastAsia="en-US"/>
              </w:rPr>
            </w:pPr>
            <w:r w:rsidRPr="00477BD4">
              <w:rPr>
                <w:rFonts w:eastAsiaTheme="minorHAnsi" w:cstheme="minorBidi"/>
                <w:lang w:eastAsia="en-US"/>
              </w:rPr>
              <w:t>Belgicko</w:t>
            </w:r>
          </w:p>
        </w:tc>
        <w:tc>
          <w:tcPr>
            <w:tcW w:w="1138" w:type="dxa"/>
            <w:shd w:val="clear" w:color="auto" w:fill="E2EFD9" w:themeFill="accent6" w:themeFillTint="33"/>
            <w:vAlign w:val="center"/>
          </w:tcPr>
          <w:p w14:paraId="115CF368" w14:textId="77777777" w:rsidR="00216BD5" w:rsidRPr="00477BD4" w:rsidRDefault="00216BD5" w:rsidP="006703BB">
            <w:pPr>
              <w:spacing w:after="120"/>
              <w:rPr>
                <w:rFonts w:eastAsiaTheme="minorHAnsi" w:cstheme="minorBidi"/>
                <w:lang w:eastAsia="en-US"/>
              </w:rPr>
            </w:pPr>
            <w:r w:rsidRPr="00477BD4">
              <w:rPr>
                <w:rFonts w:eastAsiaTheme="minorHAnsi" w:cstheme="minorBidi"/>
                <w:lang w:eastAsia="en-US"/>
              </w:rPr>
              <w:t>Francúzsko</w:t>
            </w:r>
          </w:p>
        </w:tc>
        <w:tc>
          <w:tcPr>
            <w:tcW w:w="1398" w:type="dxa"/>
            <w:shd w:val="clear" w:color="auto" w:fill="E2EFD9" w:themeFill="accent6" w:themeFillTint="33"/>
            <w:vAlign w:val="center"/>
          </w:tcPr>
          <w:p w14:paraId="35F29F05" w14:textId="77777777" w:rsidR="00216BD5" w:rsidRPr="00477BD4" w:rsidRDefault="00216BD5" w:rsidP="006703BB">
            <w:pPr>
              <w:spacing w:after="120"/>
              <w:rPr>
                <w:rFonts w:eastAsiaTheme="minorHAnsi" w:cstheme="minorBidi"/>
                <w:lang w:eastAsia="en-US"/>
              </w:rPr>
            </w:pPr>
            <w:r w:rsidRPr="00477BD4">
              <w:rPr>
                <w:rFonts w:eastAsiaTheme="minorHAnsi" w:cstheme="minorBidi"/>
                <w:lang w:eastAsia="en-US"/>
              </w:rPr>
              <w:t xml:space="preserve">Ostatné štáty </w:t>
            </w:r>
          </w:p>
        </w:tc>
      </w:tr>
      <w:tr w:rsidR="00216BD5" w:rsidRPr="00477BD4" w14:paraId="339F4665" w14:textId="77777777" w:rsidTr="006703BB">
        <w:tc>
          <w:tcPr>
            <w:tcW w:w="1046" w:type="dxa"/>
            <w:shd w:val="clear" w:color="auto" w:fill="E2EFD9" w:themeFill="accent6" w:themeFillTint="33"/>
          </w:tcPr>
          <w:p w14:paraId="0D360729"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19</w:t>
            </w:r>
          </w:p>
        </w:tc>
        <w:tc>
          <w:tcPr>
            <w:tcW w:w="972" w:type="dxa"/>
            <w:shd w:val="clear" w:color="auto" w:fill="E2EFD9" w:themeFill="accent6" w:themeFillTint="33"/>
          </w:tcPr>
          <w:p w14:paraId="6CBD54D5"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17</w:t>
            </w:r>
          </w:p>
        </w:tc>
        <w:tc>
          <w:tcPr>
            <w:tcW w:w="787" w:type="dxa"/>
            <w:shd w:val="clear" w:color="auto" w:fill="E2EFD9" w:themeFill="accent6" w:themeFillTint="33"/>
          </w:tcPr>
          <w:p w14:paraId="366C5E46"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11</w:t>
            </w:r>
          </w:p>
        </w:tc>
        <w:tc>
          <w:tcPr>
            <w:tcW w:w="916" w:type="dxa"/>
            <w:shd w:val="clear" w:color="auto" w:fill="E2EFD9" w:themeFill="accent6" w:themeFillTint="33"/>
          </w:tcPr>
          <w:p w14:paraId="766976AC"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6</w:t>
            </w:r>
          </w:p>
        </w:tc>
        <w:tc>
          <w:tcPr>
            <w:tcW w:w="916" w:type="dxa"/>
            <w:shd w:val="clear" w:color="auto" w:fill="E2EFD9" w:themeFill="accent6" w:themeFillTint="33"/>
          </w:tcPr>
          <w:p w14:paraId="46FA9D1E"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6</w:t>
            </w:r>
          </w:p>
        </w:tc>
        <w:tc>
          <w:tcPr>
            <w:tcW w:w="1005" w:type="dxa"/>
            <w:shd w:val="clear" w:color="auto" w:fill="E2EFD9" w:themeFill="accent6" w:themeFillTint="33"/>
          </w:tcPr>
          <w:p w14:paraId="176A72AD"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4</w:t>
            </w:r>
          </w:p>
        </w:tc>
        <w:tc>
          <w:tcPr>
            <w:tcW w:w="939" w:type="dxa"/>
            <w:shd w:val="clear" w:color="auto" w:fill="E2EFD9" w:themeFill="accent6" w:themeFillTint="33"/>
          </w:tcPr>
          <w:p w14:paraId="69BE041A"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3</w:t>
            </w:r>
          </w:p>
        </w:tc>
        <w:tc>
          <w:tcPr>
            <w:tcW w:w="1138" w:type="dxa"/>
            <w:shd w:val="clear" w:color="auto" w:fill="E2EFD9" w:themeFill="accent6" w:themeFillTint="33"/>
          </w:tcPr>
          <w:p w14:paraId="39B04E8F"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3</w:t>
            </w:r>
          </w:p>
        </w:tc>
        <w:tc>
          <w:tcPr>
            <w:tcW w:w="1398" w:type="dxa"/>
            <w:shd w:val="clear" w:color="auto" w:fill="E2EFD9" w:themeFill="accent6" w:themeFillTint="33"/>
          </w:tcPr>
          <w:p w14:paraId="3BC29A1E"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9</w:t>
            </w:r>
          </w:p>
        </w:tc>
      </w:tr>
    </w:tbl>
    <w:p w14:paraId="005C4DD6" w14:textId="77777777" w:rsidR="00216BD5" w:rsidRDefault="00216BD5" w:rsidP="00216BD5">
      <w:pPr>
        <w:spacing w:after="120"/>
        <w:rPr>
          <w:rFonts w:eastAsiaTheme="minorHAnsi" w:cstheme="minorBidi"/>
          <w:sz w:val="24"/>
          <w:szCs w:val="24"/>
          <w:lang w:eastAsia="en-US"/>
        </w:rPr>
      </w:pPr>
    </w:p>
    <w:p w14:paraId="7022C69B" w14:textId="77777777" w:rsidR="00216BD5" w:rsidRPr="00477BD4"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r>
      <w:r w:rsidRPr="00477BD4">
        <w:rPr>
          <w:rFonts w:eastAsiaTheme="minorHAnsi" w:cstheme="minorBidi"/>
          <w:sz w:val="24"/>
          <w:szCs w:val="24"/>
          <w:lang w:eastAsia="en-US"/>
        </w:rPr>
        <w:t>Z roku 2013 zostalo v preverovaní celkovo 17 žiadostí (7 žiadostí z útvarov PZ a 10 žiadostí od zahraničných útvarov pre vyhľadávanie majetku). Za sledované obdobie roku 2014 pracovníci oddelenia</w:t>
      </w:r>
      <w:r>
        <w:rPr>
          <w:rFonts w:eastAsiaTheme="minorHAnsi" w:cstheme="minorBidi"/>
          <w:sz w:val="24"/>
          <w:szCs w:val="24"/>
          <w:lang w:eastAsia="en-US"/>
        </w:rPr>
        <w:t xml:space="preserve"> preverovania</w:t>
      </w:r>
      <w:r w:rsidRPr="00477BD4">
        <w:rPr>
          <w:rFonts w:eastAsiaTheme="minorHAnsi" w:cstheme="minorBidi"/>
          <w:sz w:val="24"/>
          <w:szCs w:val="24"/>
          <w:lang w:eastAsia="en-US"/>
        </w:rPr>
        <w:t xml:space="preserve"> majetku vybavovali spolu 109 žiadostí. Vypracovali celkovo 16 majetkových profilov pre jednotlivé útvary PZ a 72 odpovedí na žiadosti pre zahraničných partnerov. Ku koncu roka 2014 (k 31.12.2014) zostalo v preverovaní celkovo 21 žiadosti (5 žiadostí z útvarov PZ a 16 žiadostí od zahraničných útvarov).</w:t>
      </w:r>
    </w:p>
    <w:p w14:paraId="012A2D89" w14:textId="77777777" w:rsidR="00216BD5" w:rsidRDefault="00216BD5" w:rsidP="00216BD5">
      <w:pPr>
        <w:rPr>
          <w:rFonts w:eastAsiaTheme="minorHAnsi" w:cstheme="minorBidi"/>
          <w:lang w:eastAsia="en-US"/>
        </w:rPr>
      </w:pPr>
    </w:p>
    <w:p w14:paraId="4A21A0FC"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lang w:eastAsia="en-US"/>
        </w:rPr>
        <w:t xml:space="preserve">Tabuľka č. </w:t>
      </w:r>
      <w:r>
        <w:rPr>
          <w:rFonts w:eastAsiaTheme="minorHAnsi" w:cstheme="minorBidi"/>
          <w:lang w:eastAsia="en-US"/>
        </w:rPr>
        <w:t>17</w:t>
      </w:r>
      <w:r w:rsidRPr="00477BD4">
        <w:rPr>
          <w:rFonts w:eastAsiaTheme="minorHAnsi" w:cstheme="minorBidi"/>
          <w:lang w:eastAsia="en-US"/>
        </w:rPr>
        <w:t>: Prehľad žiadostí OČTK a zahraničných útvarov na FSJ</w:t>
      </w:r>
      <w:r>
        <w:rPr>
          <w:rFonts w:eastAsiaTheme="minorHAnsi" w:cstheme="minorBidi"/>
          <w:lang w:eastAsia="en-US"/>
        </w:rPr>
        <w:t xml:space="preserve"> </w:t>
      </w:r>
      <w:r w:rsidRPr="00477BD4">
        <w:rPr>
          <w:rFonts w:eastAsiaTheme="minorHAnsi" w:cstheme="minorBidi"/>
          <w:lang w:eastAsia="en-US"/>
        </w:rPr>
        <w:t>v rokoch 2011 - 2014</w:t>
      </w:r>
      <w:r w:rsidRPr="00477BD4">
        <w:rPr>
          <w:rFonts w:eastAsiaTheme="minorHAnsi" w:cstheme="minorBidi"/>
          <w:sz w:val="24"/>
          <w:szCs w:val="24"/>
          <w:lang w:eastAsia="en-US"/>
        </w:rPr>
        <w:tab/>
      </w:r>
    </w:p>
    <w:tbl>
      <w:tblPr>
        <w:tblStyle w:val="Mriekatabuky2"/>
        <w:tblW w:w="0" w:type="auto"/>
        <w:tblLook w:val="04A0" w:firstRow="1" w:lastRow="0" w:firstColumn="1" w:lastColumn="0" w:noHBand="0" w:noVBand="1"/>
      </w:tblPr>
      <w:tblGrid>
        <w:gridCol w:w="1980"/>
        <w:gridCol w:w="2126"/>
        <w:gridCol w:w="2690"/>
        <w:gridCol w:w="2266"/>
      </w:tblGrid>
      <w:tr w:rsidR="00216BD5" w:rsidRPr="00477BD4" w14:paraId="75A6D472" w14:textId="77777777" w:rsidTr="006703BB">
        <w:tc>
          <w:tcPr>
            <w:tcW w:w="1980" w:type="dxa"/>
            <w:shd w:val="clear" w:color="auto" w:fill="A8D08D" w:themeFill="accent6" w:themeFillTint="99"/>
            <w:vAlign w:val="center"/>
          </w:tcPr>
          <w:p w14:paraId="0729B094"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Rok</w:t>
            </w:r>
          </w:p>
        </w:tc>
        <w:tc>
          <w:tcPr>
            <w:tcW w:w="2126" w:type="dxa"/>
            <w:shd w:val="clear" w:color="auto" w:fill="A8D08D" w:themeFill="accent6" w:themeFillTint="99"/>
            <w:vAlign w:val="center"/>
          </w:tcPr>
          <w:p w14:paraId="6567D237"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Žiadosti od OČTK</w:t>
            </w:r>
          </w:p>
        </w:tc>
        <w:tc>
          <w:tcPr>
            <w:tcW w:w="2690" w:type="dxa"/>
            <w:shd w:val="clear" w:color="auto" w:fill="A8D08D" w:themeFill="accent6" w:themeFillTint="99"/>
            <w:vAlign w:val="center"/>
          </w:tcPr>
          <w:p w14:paraId="5AF86783"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Žiadosti od zahraničných útvarov pre vyhľadávanie majetku</w:t>
            </w:r>
          </w:p>
        </w:tc>
        <w:tc>
          <w:tcPr>
            <w:tcW w:w="2266" w:type="dxa"/>
            <w:shd w:val="clear" w:color="auto" w:fill="A8D08D" w:themeFill="accent6" w:themeFillTint="99"/>
            <w:vAlign w:val="center"/>
          </w:tcPr>
          <w:p w14:paraId="06A7FD23"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Žiadosti o právnu pomoc zaslané GP SR</w:t>
            </w:r>
          </w:p>
        </w:tc>
      </w:tr>
      <w:tr w:rsidR="00216BD5" w:rsidRPr="00477BD4" w14:paraId="4A2757CA" w14:textId="77777777" w:rsidTr="006703BB">
        <w:tc>
          <w:tcPr>
            <w:tcW w:w="1980" w:type="dxa"/>
            <w:shd w:val="clear" w:color="auto" w:fill="E2EFD9" w:themeFill="accent6" w:themeFillTint="33"/>
          </w:tcPr>
          <w:p w14:paraId="1C31041D"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2011</w:t>
            </w:r>
          </w:p>
        </w:tc>
        <w:tc>
          <w:tcPr>
            <w:tcW w:w="2126" w:type="dxa"/>
            <w:shd w:val="clear" w:color="auto" w:fill="E2EFD9" w:themeFill="accent6" w:themeFillTint="33"/>
          </w:tcPr>
          <w:p w14:paraId="1F779930"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20</w:t>
            </w:r>
          </w:p>
        </w:tc>
        <w:tc>
          <w:tcPr>
            <w:tcW w:w="2690" w:type="dxa"/>
            <w:shd w:val="clear" w:color="auto" w:fill="E2EFD9" w:themeFill="accent6" w:themeFillTint="33"/>
          </w:tcPr>
          <w:p w14:paraId="4A3C994F"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32</w:t>
            </w:r>
          </w:p>
        </w:tc>
        <w:tc>
          <w:tcPr>
            <w:tcW w:w="2266" w:type="dxa"/>
            <w:shd w:val="clear" w:color="auto" w:fill="E2EFD9" w:themeFill="accent6" w:themeFillTint="33"/>
          </w:tcPr>
          <w:p w14:paraId="11D2417F"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w:t>
            </w:r>
          </w:p>
        </w:tc>
      </w:tr>
      <w:tr w:rsidR="00216BD5" w:rsidRPr="00477BD4" w14:paraId="642D6A61" w14:textId="77777777" w:rsidTr="006703BB">
        <w:tc>
          <w:tcPr>
            <w:tcW w:w="1980" w:type="dxa"/>
            <w:shd w:val="clear" w:color="auto" w:fill="E2EFD9" w:themeFill="accent6" w:themeFillTint="33"/>
          </w:tcPr>
          <w:p w14:paraId="625FB221"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2012</w:t>
            </w:r>
          </w:p>
        </w:tc>
        <w:tc>
          <w:tcPr>
            <w:tcW w:w="2126" w:type="dxa"/>
            <w:shd w:val="clear" w:color="auto" w:fill="E2EFD9" w:themeFill="accent6" w:themeFillTint="33"/>
          </w:tcPr>
          <w:p w14:paraId="0C417C59"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19</w:t>
            </w:r>
          </w:p>
        </w:tc>
        <w:tc>
          <w:tcPr>
            <w:tcW w:w="2690" w:type="dxa"/>
            <w:shd w:val="clear" w:color="auto" w:fill="E2EFD9" w:themeFill="accent6" w:themeFillTint="33"/>
          </w:tcPr>
          <w:p w14:paraId="474C2C70"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21</w:t>
            </w:r>
          </w:p>
        </w:tc>
        <w:tc>
          <w:tcPr>
            <w:tcW w:w="2266" w:type="dxa"/>
            <w:shd w:val="clear" w:color="auto" w:fill="E2EFD9" w:themeFill="accent6" w:themeFillTint="33"/>
          </w:tcPr>
          <w:p w14:paraId="505190D0"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0</w:t>
            </w:r>
          </w:p>
        </w:tc>
      </w:tr>
      <w:tr w:rsidR="00216BD5" w:rsidRPr="00477BD4" w14:paraId="48E6D72A" w14:textId="77777777" w:rsidTr="006703BB">
        <w:tc>
          <w:tcPr>
            <w:tcW w:w="1980" w:type="dxa"/>
            <w:shd w:val="clear" w:color="auto" w:fill="E2EFD9" w:themeFill="accent6" w:themeFillTint="33"/>
          </w:tcPr>
          <w:p w14:paraId="3D56FDE1"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2013</w:t>
            </w:r>
          </w:p>
        </w:tc>
        <w:tc>
          <w:tcPr>
            <w:tcW w:w="2126" w:type="dxa"/>
            <w:shd w:val="clear" w:color="auto" w:fill="E2EFD9" w:themeFill="accent6" w:themeFillTint="33"/>
          </w:tcPr>
          <w:p w14:paraId="4D567721"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27</w:t>
            </w:r>
          </w:p>
        </w:tc>
        <w:tc>
          <w:tcPr>
            <w:tcW w:w="2690" w:type="dxa"/>
            <w:shd w:val="clear" w:color="auto" w:fill="E2EFD9" w:themeFill="accent6" w:themeFillTint="33"/>
          </w:tcPr>
          <w:p w14:paraId="09251764"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48</w:t>
            </w:r>
          </w:p>
        </w:tc>
        <w:tc>
          <w:tcPr>
            <w:tcW w:w="2266" w:type="dxa"/>
            <w:shd w:val="clear" w:color="auto" w:fill="E2EFD9" w:themeFill="accent6" w:themeFillTint="33"/>
          </w:tcPr>
          <w:p w14:paraId="6EFF081B"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0</w:t>
            </w:r>
          </w:p>
        </w:tc>
      </w:tr>
      <w:tr w:rsidR="00216BD5" w:rsidRPr="00477BD4" w14:paraId="319D70CE" w14:textId="77777777" w:rsidTr="006703BB">
        <w:tc>
          <w:tcPr>
            <w:tcW w:w="1980" w:type="dxa"/>
            <w:shd w:val="clear" w:color="auto" w:fill="E2EFD9" w:themeFill="accent6" w:themeFillTint="33"/>
          </w:tcPr>
          <w:p w14:paraId="5AD93A8D"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2014</w:t>
            </w:r>
          </w:p>
        </w:tc>
        <w:tc>
          <w:tcPr>
            <w:tcW w:w="2126" w:type="dxa"/>
            <w:shd w:val="clear" w:color="auto" w:fill="E2EFD9" w:themeFill="accent6" w:themeFillTint="33"/>
          </w:tcPr>
          <w:p w14:paraId="5AA81A53"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14</w:t>
            </w:r>
          </w:p>
        </w:tc>
        <w:tc>
          <w:tcPr>
            <w:tcW w:w="2690" w:type="dxa"/>
            <w:shd w:val="clear" w:color="auto" w:fill="E2EFD9" w:themeFill="accent6" w:themeFillTint="33"/>
          </w:tcPr>
          <w:p w14:paraId="7E06B997"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78</w:t>
            </w:r>
          </w:p>
        </w:tc>
        <w:tc>
          <w:tcPr>
            <w:tcW w:w="2266" w:type="dxa"/>
            <w:shd w:val="clear" w:color="auto" w:fill="E2EFD9" w:themeFill="accent6" w:themeFillTint="33"/>
          </w:tcPr>
          <w:p w14:paraId="630AD515"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0</w:t>
            </w:r>
          </w:p>
        </w:tc>
      </w:tr>
    </w:tbl>
    <w:p w14:paraId="7FFD5112" w14:textId="77777777" w:rsidR="00216BD5" w:rsidRPr="00477BD4" w:rsidRDefault="00216BD5" w:rsidP="00216BD5">
      <w:pPr>
        <w:spacing w:after="120"/>
        <w:rPr>
          <w:rFonts w:eastAsiaTheme="minorHAnsi" w:cstheme="minorBidi"/>
          <w:sz w:val="24"/>
          <w:szCs w:val="24"/>
          <w:lang w:eastAsia="en-US"/>
        </w:rPr>
      </w:pPr>
    </w:p>
    <w:p w14:paraId="341C0F42"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lang w:eastAsia="en-US"/>
        </w:rPr>
        <w:t>Tabuľka č.</w:t>
      </w:r>
      <w:r>
        <w:rPr>
          <w:rFonts w:eastAsiaTheme="minorHAnsi" w:cstheme="minorBidi"/>
          <w:lang w:eastAsia="en-US"/>
        </w:rPr>
        <w:t xml:space="preserve"> 18</w:t>
      </w:r>
      <w:r w:rsidRPr="00477BD4">
        <w:rPr>
          <w:rFonts w:eastAsiaTheme="minorHAnsi" w:cstheme="minorBidi"/>
          <w:lang w:eastAsia="en-US"/>
        </w:rPr>
        <w:t>: Porovnanie celkového počtu vybavených žiadostí OČTK a zahraničných útvarov na FSJ v rokoch 2013 - 2014</w:t>
      </w:r>
      <w:r w:rsidRPr="00477BD4">
        <w:rPr>
          <w:rFonts w:eastAsiaTheme="minorHAnsi" w:cstheme="minorBidi"/>
          <w:sz w:val="24"/>
          <w:szCs w:val="24"/>
          <w:lang w:eastAsia="en-US"/>
        </w:rPr>
        <w:tab/>
      </w:r>
    </w:p>
    <w:tbl>
      <w:tblPr>
        <w:tblStyle w:val="Mriekatabuky2"/>
        <w:tblW w:w="0" w:type="auto"/>
        <w:tblLook w:val="04A0" w:firstRow="1" w:lastRow="0" w:firstColumn="1" w:lastColumn="0" w:noHBand="0" w:noVBand="1"/>
      </w:tblPr>
      <w:tblGrid>
        <w:gridCol w:w="4957"/>
        <w:gridCol w:w="1417"/>
        <w:gridCol w:w="1559"/>
        <w:gridCol w:w="1129"/>
      </w:tblGrid>
      <w:tr w:rsidR="00216BD5" w:rsidRPr="00477BD4" w14:paraId="629837DA" w14:textId="77777777" w:rsidTr="006703BB">
        <w:tc>
          <w:tcPr>
            <w:tcW w:w="4957" w:type="dxa"/>
            <w:shd w:val="clear" w:color="auto" w:fill="A8D08D" w:themeFill="accent6" w:themeFillTint="99"/>
            <w:vAlign w:val="center"/>
          </w:tcPr>
          <w:p w14:paraId="33822A39"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Štatistický údaj k počtu žiadostí</w:t>
            </w:r>
          </w:p>
        </w:tc>
        <w:tc>
          <w:tcPr>
            <w:tcW w:w="1417" w:type="dxa"/>
            <w:shd w:val="clear" w:color="auto" w:fill="A8D08D" w:themeFill="accent6" w:themeFillTint="99"/>
            <w:vAlign w:val="center"/>
          </w:tcPr>
          <w:p w14:paraId="239A9EFB"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2013</w:t>
            </w:r>
          </w:p>
        </w:tc>
        <w:tc>
          <w:tcPr>
            <w:tcW w:w="1559" w:type="dxa"/>
            <w:shd w:val="clear" w:color="auto" w:fill="A8D08D" w:themeFill="accent6" w:themeFillTint="99"/>
            <w:vAlign w:val="center"/>
          </w:tcPr>
          <w:p w14:paraId="7DD1C797"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2014</w:t>
            </w:r>
          </w:p>
        </w:tc>
        <w:tc>
          <w:tcPr>
            <w:tcW w:w="1129" w:type="dxa"/>
            <w:shd w:val="clear" w:color="auto" w:fill="A8D08D" w:themeFill="accent6" w:themeFillTint="99"/>
            <w:vAlign w:val="center"/>
          </w:tcPr>
          <w:p w14:paraId="73E2E5D6"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Rozdiel</w:t>
            </w:r>
          </w:p>
        </w:tc>
      </w:tr>
      <w:tr w:rsidR="00216BD5" w:rsidRPr="00477BD4" w14:paraId="1379D043" w14:textId="77777777" w:rsidTr="006703BB">
        <w:tc>
          <w:tcPr>
            <w:tcW w:w="4957" w:type="dxa"/>
            <w:shd w:val="clear" w:color="auto" w:fill="E2EFD9" w:themeFill="accent6" w:themeFillTint="33"/>
          </w:tcPr>
          <w:p w14:paraId="04A3A2CE"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Počet žiadostí z predchádzajúceho roku</w:t>
            </w:r>
          </w:p>
        </w:tc>
        <w:tc>
          <w:tcPr>
            <w:tcW w:w="1417" w:type="dxa"/>
            <w:shd w:val="clear" w:color="auto" w:fill="E2EFD9" w:themeFill="accent6" w:themeFillTint="33"/>
          </w:tcPr>
          <w:p w14:paraId="14A96EF0"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20</w:t>
            </w:r>
          </w:p>
        </w:tc>
        <w:tc>
          <w:tcPr>
            <w:tcW w:w="1559" w:type="dxa"/>
            <w:shd w:val="clear" w:color="auto" w:fill="E2EFD9" w:themeFill="accent6" w:themeFillTint="33"/>
          </w:tcPr>
          <w:p w14:paraId="4311A635"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17</w:t>
            </w:r>
          </w:p>
        </w:tc>
        <w:tc>
          <w:tcPr>
            <w:tcW w:w="1129" w:type="dxa"/>
            <w:shd w:val="clear" w:color="auto" w:fill="E2EFD9" w:themeFill="accent6" w:themeFillTint="33"/>
          </w:tcPr>
          <w:p w14:paraId="172221DD"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w:t>
            </w:r>
            <w:r>
              <w:rPr>
                <w:rFonts w:eastAsiaTheme="minorHAnsi" w:cstheme="minorBidi"/>
                <w:sz w:val="24"/>
                <w:szCs w:val="24"/>
                <w:lang w:eastAsia="en-US"/>
              </w:rPr>
              <w:t xml:space="preserve"> </w:t>
            </w:r>
            <w:r w:rsidRPr="00477BD4">
              <w:rPr>
                <w:rFonts w:eastAsiaTheme="minorHAnsi" w:cstheme="minorBidi"/>
                <w:sz w:val="24"/>
                <w:szCs w:val="24"/>
                <w:lang w:eastAsia="en-US"/>
              </w:rPr>
              <w:t>3</w:t>
            </w:r>
          </w:p>
        </w:tc>
      </w:tr>
      <w:tr w:rsidR="00216BD5" w:rsidRPr="00477BD4" w14:paraId="0C7ECDAA" w14:textId="77777777" w:rsidTr="006703BB">
        <w:tc>
          <w:tcPr>
            <w:tcW w:w="4957" w:type="dxa"/>
            <w:shd w:val="clear" w:color="auto" w:fill="E2EFD9" w:themeFill="accent6" w:themeFillTint="33"/>
          </w:tcPr>
          <w:p w14:paraId="43375DED"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Počet prijatých žiadostí</w:t>
            </w:r>
          </w:p>
        </w:tc>
        <w:tc>
          <w:tcPr>
            <w:tcW w:w="1417" w:type="dxa"/>
            <w:shd w:val="clear" w:color="auto" w:fill="E2EFD9" w:themeFill="accent6" w:themeFillTint="33"/>
          </w:tcPr>
          <w:p w14:paraId="3E1B20CB"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75</w:t>
            </w:r>
          </w:p>
        </w:tc>
        <w:tc>
          <w:tcPr>
            <w:tcW w:w="1559" w:type="dxa"/>
            <w:shd w:val="clear" w:color="auto" w:fill="E2EFD9" w:themeFill="accent6" w:themeFillTint="33"/>
          </w:tcPr>
          <w:p w14:paraId="31C5E177"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92</w:t>
            </w:r>
          </w:p>
        </w:tc>
        <w:tc>
          <w:tcPr>
            <w:tcW w:w="1129" w:type="dxa"/>
            <w:shd w:val="clear" w:color="auto" w:fill="E2EFD9" w:themeFill="accent6" w:themeFillTint="33"/>
          </w:tcPr>
          <w:p w14:paraId="0F676448"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+ 17</w:t>
            </w:r>
          </w:p>
        </w:tc>
      </w:tr>
      <w:tr w:rsidR="00216BD5" w:rsidRPr="00477BD4" w14:paraId="31A725F1" w14:textId="77777777" w:rsidTr="006703BB">
        <w:tc>
          <w:tcPr>
            <w:tcW w:w="4957" w:type="dxa"/>
            <w:shd w:val="clear" w:color="auto" w:fill="E2EFD9" w:themeFill="accent6" w:themeFillTint="33"/>
          </w:tcPr>
          <w:p w14:paraId="77A4AC60"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 xml:space="preserve">Počet vybavených žiadostí </w:t>
            </w:r>
          </w:p>
        </w:tc>
        <w:tc>
          <w:tcPr>
            <w:tcW w:w="1417" w:type="dxa"/>
            <w:shd w:val="clear" w:color="auto" w:fill="E2EFD9" w:themeFill="accent6" w:themeFillTint="33"/>
          </w:tcPr>
          <w:p w14:paraId="0375D2DE"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80</w:t>
            </w:r>
          </w:p>
        </w:tc>
        <w:tc>
          <w:tcPr>
            <w:tcW w:w="1559" w:type="dxa"/>
            <w:shd w:val="clear" w:color="auto" w:fill="E2EFD9" w:themeFill="accent6" w:themeFillTint="33"/>
          </w:tcPr>
          <w:p w14:paraId="5A274904"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88</w:t>
            </w:r>
          </w:p>
        </w:tc>
        <w:tc>
          <w:tcPr>
            <w:tcW w:w="1129" w:type="dxa"/>
            <w:shd w:val="clear" w:color="auto" w:fill="E2EFD9" w:themeFill="accent6" w:themeFillTint="33"/>
          </w:tcPr>
          <w:p w14:paraId="30290B66"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+ 8</w:t>
            </w:r>
          </w:p>
        </w:tc>
      </w:tr>
      <w:tr w:rsidR="00216BD5" w:rsidRPr="00477BD4" w14:paraId="747908D8" w14:textId="77777777" w:rsidTr="006703BB">
        <w:tc>
          <w:tcPr>
            <w:tcW w:w="4957" w:type="dxa"/>
            <w:shd w:val="clear" w:color="auto" w:fill="E2EFD9" w:themeFill="accent6" w:themeFillTint="33"/>
          </w:tcPr>
          <w:p w14:paraId="746758E0" w14:textId="77777777" w:rsidR="00216BD5" w:rsidRPr="00477BD4" w:rsidRDefault="00216BD5" w:rsidP="006703BB">
            <w:pPr>
              <w:spacing w:after="120"/>
              <w:jc w:val="left"/>
              <w:rPr>
                <w:rFonts w:eastAsiaTheme="minorHAnsi" w:cstheme="minorBidi"/>
                <w:sz w:val="24"/>
                <w:szCs w:val="24"/>
                <w:lang w:eastAsia="en-US"/>
              </w:rPr>
            </w:pPr>
            <w:r w:rsidRPr="00477BD4">
              <w:rPr>
                <w:rFonts w:eastAsiaTheme="minorHAnsi" w:cstheme="minorBidi"/>
                <w:sz w:val="24"/>
                <w:szCs w:val="24"/>
                <w:lang w:eastAsia="en-US"/>
              </w:rPr>
              <w:t>Počet nevybavených žiadostí ku koncu roka</w:t>
            </w:r>
          </w:p>
        </w:tc>
        <w:tc>
          <w:tcPr>
            <w:tcW w:w="1417" w:type="dxa"/>
            <w:shd w:val="clear" w:color="auto" w:fill="E2EFD9" w:themeFill="accent6" w:themeFillTint="33"/>
          </w:tcPr>
          <w:p w14:paraId="3BC990C5"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15</w:t>
            </w:r>
          </w:p>
        </w:tc>
        <w:tc>
          <w:tcPr>
            <w:tcW w:w="1559" w:type="dxa"/>
            <w:shd w:val="clear" w:color="auto" w:fill="E2EFD9" w:themeFill="accent6" w:themeFillTint="33"/>
          </w:tcPr>
          <w:p w14:paraId="3EC3B819"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21</w:t>
            </w:r>
          </w:p>
        </w:tc>
        <w:tc>
          <w:tcPr>
            <w:tcW w:w="1129" w:type="dxa"/>
            <w:shd w:val="clear" w:color="auto" w:fill="E2EFD9" w:themeFill="accent6" w:themeFillTint="33"/>
          </w:tcPr>
          <w:p w14:paraId="757A6B73"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+ 6</w:t>
            </w:r>
          </w:p>
        </w:tc>
      </w:tr>
    </w:tbl>
    <w:p w14:paraId="6255403A" w14:textId="77777777" w:rsidR="00216BD5" w:rsidRPr="00477BD4" w:rsidRDefault="00216BD5" w:rsidP="00216BD5">
      <w:pPr>
        <w:spacing w:after="120"/>
        <w:rPr>
          <w:rFonts w:eastAsiaTheme="minorHAnsi" w:cstheme="minorBidi"/>
          <w:sz w:val="24"/>
          <w:szCs w:val="24"/>
          <w:lang w:eastAsia="en-US"/>
        </w:rPr>
      </w:pPr>
    </w:p>
    <w:p w14:paraId="7B8DD15A"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Ako vyplýva z údajov prezentovaných v tabuľkách č. </w:t>
      </w:r>
      <w:r>
        <w:rPr>
          <w:rFonts w:eastAsiaTheme="minorHAnsi" w:cstheme="minorBidi"/>
          <w:sz w:val="24"/>
          <w:szCs w:val="24"/>
          <w:lang w:eastAsia="en-US"/>
        </w:rPr>
        <w:t>15 a 17,</w:t>
      </w:r>
      <w:r w:rsidRPr="00477BD4">
        <w:rPr>
          <w:rFonts w:eastAsiaTheme="minorHAnsi" w:cstheme="minorBidi"/>
          <w:sz w:val="24"/>
          <w:szCs w:val="24"/>
          <w:lang w:eastAsia="en-US"/>
        </w:rPr>
        <w:t xml:space="preserve"> FSJ najintenzívnejšie spolupracovala s NPZJ a na medzinárodnej úrovni bola najintenzívnejšia spolupráca s ARO Maďarska, Českej republiky a Poľska. </w:t>
      </w:r>
    </w:p>
    <w:p w14:paraId="0AA55333" w14:textId="77777777" w:rsidR="00216BD5" w:rsidRPr="00477BD4" w:rsidRDefault="00216BD5" w:rsidP="00216BD5">
      <w:pPr>
        <w:spacing w:after="120"/>
        <w:rPr>
          <w:rFonts w:eastAsiaTheme="minorHAnsi" w:cstheme="minorBidi"/>
          <w:sz w:val="24"/>
          <w:szCs w:val="24"/>
          <w:lang w:eastAsia="en-US"/>
        </w:rPr>
      </w:pPr>
    </w:p>
    <w:p w14:paraId="0375756B" w14:textId="77777777" w:rsidR="00216BD5" w:rsidRPr="00477BD4" w:rsidRDefault="00216BD5" w:rsidP="00216BD5">
      <w:pPr>
        <w:pStyle w:val="Podnadpis"/>
      </w:pPr>
      <w:bookmarkStart w:id="14" w:name="_Toc412466394"/>
      <w:r>
        <w:t>5</w:t>
      </w:r>
      <w:r w:rsidRPr="00477BD4">
        <w:t>.</w:t>
      </w:r>
      <w:r>
        <w:t xml:space="preserve">2 </w:t>
      </w:r>
      <w:r w:rsidRPr="00477BD4">
        <w:t>Preverovanie pôvodu majetku (majetkové preverovanie)</w:t>
      </w:r>
      <w:bookmarkEnd w:id="14"/>
      <w:r w:rsidRPr="00477BD4">
        <w:t xml:space="preserve"> </w:t>
      </w:r>
    </w:p>
    <w:p w14:paraId="4C262B97" w14:textId="77777777" w:rsidR="00216BD5" w:rsidRPr="00477BD4" w:rsidRDefault="00216BD5" w:rsidP="00216BD5">
      <w:pPr>
        <w:spacing w:after="120"/>
        <w:rPr>
          <w:rFonts w:eastAsiaTheme="minorHAnsi" w:cstheme="minorBidi"/>
          <w:sz w:val="24"/>
          <w:szCs w:val="24"/>
          <w:lang w:eastAsia="en-US"/>
        </w:rPr>
      </w:pPr>
    </w:p>
    <w:p w14:paraId="6F630FA7"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r>
      <w:r w:rsidRPr="00776367">
        <w:rPr>
          <w:rFonts w:eastAsiaTheme="minorHAnsi" w:cstheme="minorBidi"/>
          <w:sz w:val="24"/>
          <w:szCs w:val="24"/>
          <w:lang w:eastAsia="en-US"/>
        </w:rPr>
        <w:t>Zákon o preukazovaní pôvodu majetku</w:t>
      </w:r>
      <w:r w:rsidRPr="00477BD4">
        <w:rPr>
          <w:rFonts w:eastAsiaTheme="minorHAnsi" w:cstheme="minorBidi"/>
          <w:sz w:val="24"/>
          <w:szCs w:val="24"/>
          <w:lang w:eastAsia="en-US"/>
        </w:rPr>
        <w:t xml:space="preserve"> určuje na plnenie úloh</w:t>
      </w:r>
      <w:r>
        <w:rPr>
          <w:rFonts w:eastAsiaTheme="minorHAnsi" w:cstheme="minorBidi"/>
          <w:sz w:val="24"/>
          <w:szCs w:val="24"/>
          <w:lang w:eastAsia="en-US"/>
        </w:rPr>
        <w:t xml:space="preserve"> z neho</w:t>
      </w:r>
      <w:r w:rsidRPr="00477BD4">
        <w:rPr>
          <w:rFonts w:eastAsiaTheme="minorHAnsi" w:cstheme="minorBidi"/>
          <w:sz w:val="24"/>
          <w:szCs w:val="24"/>
          <w:lang w:eastAsia="en-US"/>
        </w:rPr>
        <w:t xml:space="preserve"> vyplývajúcich službu finančnej polície Policajného zboru, ktorou sú organizačné zložky NAKA P</w:t>
      </w:r>
      <w:r>
        <w:rPr>
          <w:rFonts w:eastAsiaTheme="minorHAnsi" w:cstheme="minorBidi"/>
          <w:sz w:val="24"/>
          <w:szCs w:val="24"/>
          <w:lang w:eastAsia="en-US"/>
        </w:rPr>
        <w:t>rezídia</w:t>
      </w:r>
      <w:r w:rsidRPr="00477BD4">
        <w:rPr>
          <w:rFonts w:eastAsiaTheme="minorHAnsi" w:cstheme="minorBidi"/>
          <w:sz w:val="24"/>
          <w:szCs w:val="24"/>
          <w:lang w:eastAsia="en-US"/>
        </w:rPr>
        <w:t xml:space="preserve"> PZ a to FSJ, ako aj NJFP. </w:t>
      </w:r>
    </w:p>
    <w:p w14:paraId="465C64AA" w14:textId="77777777" w:rsidR="00216BD5"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Interným predpisom je </w:t>
      </w:r>
      <w:r>
        <w:rPr>
          <w:rFonts w:eastAsiaTheme="minorHAnsi" w:cstheme="minorBidi"/>
          <w:sz w:val="24"/>
          <w:szCs w:val="24"/>
          <w:lang w:eastAsia="en-US"/>
        </w:rPr>
        <w:t>v</w:t>
      </w:r>
      <w:r w:rsidRPr="00477BD4">
        <w:rPr>
          <w:rFonts w:eastAsiaTheme="minorHAnsi" w:cstheme="minorBidi"/>
          <w:sz w:val="24"/>
          <w:szCs w:val="24"/>
          <w:lang w:eastAsia="en-US"/>
        </w:rPr>
        <w:t>ymedzené postavenie</w:t>
      </w:r>
      <w:r>
        <w:rPr>
          <w:rFonts w:eastAsiaTheme="minorHAnsi" w:cstheme="minorBidi"/>
          <w:sz w:val="24"/>
          <w:szCs w:val="24"/>
          <w:lang w:eastAsia="en-US"/>
        </w:rPr>
        <w:t xml:space="preserve"> a povinnosti FSJ </w:t>
      </w:r>
      <w:r w:rsidRPr="00477BD4">
        <w:rPr>
          <w:rFonts w:eastAsiaTheme="minorHAnsi" w:cstheme="minorBidi"/>
          <w:sz w:val="24"/>
          <w:szCs w:val="24"/>
          <w:lang w:eastAsia="en-US"/>
        </w:rPr>
        <w:t>vo vzťahu k</w:t>
      </w:r>
      <w:r>
        <w:rPr>
          <w:rFonts w:eastAsiaTheme="minorHAnsi" w:cstheme="minorBidi"/>
          <w:sz w:val="24"/>
          <w:szCs w:val="24"/>
          <w:lang w:eastAsia="en-US"/>
        </w:rPr>
        <w:t> </w:t>
      </w:r>
      <w:r w:rsidRPr="00477BD4">
        <w:rPr>
          <w:rFonts w:eastAsiaTheme="minorHAnsi" w:cstheme="minorBidi"/>
          <w:sz w:val="24"/>
          <w:szCs w:val="24"/>
          <w:lang w:eastAsia="en-US"/>
        </w:rPr>
        <w:t>NJFP</w:t>
      </w:r>
      <w:r>
        <w:rPr>
          <w:rFonts w:eastAsiaTheme="minorHAnsi" w:cstheme="minorBidi"/>
          <w:sz w:val="24"/>
          <w:szCs w:val="24"/>
          <w:lang w:eastAsia="en-US"/>
        </w:rPr>
        <w:t>, ku ktorej má FSJ metodickú a koordinačnú pôsobnosť.</w:t>
      </w:r>
    </w:p>
    <w:p w14:paraId="618EB648"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 xml:space="preserve">V roku 2014 oddelenie preverovania majetku vykonávalo preverovanie majetku v 54 prípadoch. Z uvedeného celkového počtu bolo 18 prípadov preverovania majetku vykonávaných na základe prijatých oznámení a vlastných podnetov z roku 2014. V 36 prípadoch sa jednalo o preverovania majetku, ktoré neboli ukončené do konca roku 2013 a boli vybavované v roku 2014. </w:t>
      </w:r>
    </w:p>
    <w:p w14:paraId="3AF3D0E8"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Z 18 prípadov prijatých v roku 2014 bolo 6 prípadov prijatých na základe písomného oznámenia fyzických osôb, 4 na základe písomného oznámenia právnických osôb a v 8 prípadoch bolo konanie začaté na základe vlastného podnetu. V roku 2014 nebolo prijaté žiadne oznámenie od orgánu verejnej moci.</w:t>
      </w:r>
    </w:p>
    <w:p w14:paraId="36A22B93"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Z celkového počtu 54 prípadov bolo v roku 2014 ukončených 26 prípadov. Z tohto počtu bol</w:t>
      </w:r>
      <w:r>
        <w:rPr>
          <w:rFonts w:eastAsiaTheme="minorHAnsi" w:cstheme="minorBidi"/>
          <w:sz w:val="24"/>
          <w:szCs w:val="24"/>
          <w:lang w:eastAsia="en-US"/>
        </w:rPr>
        <w:t>o</w:t>
      </w:r>
      <w:r w:rsidRPr="00477BD4">
        <w:rPr>
          <w:rFonts w:eastAsiaTheme="minorHAnsi" w:cstheme="minorBidi"/>
          <w:sz w:val="24"/>
          <w:szCs w:val="24"/>
          <w:lang w:eastAsia="en-US"/>
        </w:rPr>
        <w:t xml:space="preserve"> príslušnému prokurátorovi</w:t>
      </w:r>
      <w:r>
        <w:rPr>
          <w:rFonts w:eastAsiaTheme="minorHAnsi" w:cstheme="minorBidi"/>
          <w:sz w:val="24"/>
          <w:szCs w:val="24"/>
          <w:lang w:eastAsia="en-US"/>
        </w:rPr>
        <w:t xml:space="preserve"> </w:t>
      </w:r>
      <w:r w:rsidRPr="00477BD4">
        <w:rPr>
          <w:rFonts w:eastAsiaTheme="minorHAnsi" w:cstheme="minorBidi"/>
          <w:sz w:val="24"/>
          <w:szCs w:val="24"/>
          <w:lang w:eastAsia="en-US"/>
        </w:rPr>
        <w:t>v zmysle § 6 zákona o preukazovaní pôvodu majetku</w:t>
      </w:r>
      <w:r>
        <w:rPr>
          <w:rFonts w:eastAsiaTheme="minorHAnsi" w:cstheme="minorBidi"/>
          <w:sz w:val="24"/>
          <w:szCs w:val="24"/>
          <w:lang w:eastAsia="en-US"/>
        </w:rPr>
        <w:t xml:space="preserve"> </w:t>
      </w:r>
      <w:r w:rsidRPr="00477BD4">
        <w:rPr>
          <w:rFonts w:eastAsiaTheme="minorHAnsi" w:cstheme="minorBidi"/>
          <w:sz w:val="24"/>
          <w:szCs w:val="24"/>
          <w:lang w:eastAsia="en-US"/>
        </w:rPr>
        <w:t>podan</w:t>
      </w:r>
      <w:r>
        <w:rPr>
          <w:rFonts w:eastAsiaTheme="minorHAnsi" w:cstheme="minorBidi"/>
          <w:sz w:val="24"/>
          <w:szCs w:val="24"/>
          <w:lang w:eastAsia="en-US"/>
        </w:rPr>
        <w:t>ých</w:t>
      </w:r>
      <w:r w:rsidRPr="00477BD4">
        <w:rPr>
          <w:rFonts w:eastAsiaTheme="minorHAnsi" w:cstheme="minorBidi"/>
          <w:sz w:val="24"/>
          <w:szCs w:val="24"/>
          <w:lang w:eastAsia="en-US"/>
        </w:rPr>
        <w:t xml:space="preserve"> celkovo </w:t>
      </w:r>
      <w:r>
        <w:rPr>
          <w:rFonts w:eastAsiaTheme="minorHAnsi" w:cstheme="minorBidi"/>
          <w:sz w:val="24"/>
          <w:szCs w:val="24"/>
          <w:lang w:eastAsia="en-US"/>
        </w:rPr>
        <w:t>7</w:t>
      </w:r>
      <w:r w:rsidRPr="00477BD4">
        <w:rPr>
          <w:rFonts w:eastAsiaTheme="minorHAnsi" w:cstheme="minorBidi"/>
          <w:sz w:val="24"/>
          <w:szCs w:val="24"/>
          <w:lang w:eastAsia="en-US"/>
        </w:rPr>
        <w:t xml:space="preserve"> podnet</w:t>
      </w:r>
      <w:r>
        <w:rPr>
          <w:rFonts w:eastAsiaTheme="minorHAnsi" w:cstheme="minorBidi"/>
          <w:sz w:val="24"/>
          <w:szCs w:val="24"/>
          <w:lang w:eastAsia="en-US"/>
        </w:rPr>
        <w:t>ov</w:t>
      </w:r>
      <w:r w:rsidRPr="00477BD4">
        <w:rPr>
          <w:rFonts w:eastAsiaTheme="minorHAnsi" w:cstheme="minorBidi"/>
          <w:sz w:val="24"/>
          <w:szCs w:val="24"/>
          <w:lang w:eastAsia="en-US"/>
        </w:rPr>
        <w:t xml:space="preserve"> na podanie návrhu na začatie konania o vyslovenie toho, že</w:t>
      </w:r>
      <w:r>
        <w:rPr>
          <w:rFonts w:eastAsiaTheme="minorHAnsi" w:cstheme="minorBidi"/>
          <w:sz w:val="24"/>
          <w:szCs w:val="24"/>
          <w:lang w:eastAsia="en-US"/>
        </w:rPr>
        <w:t> </w:t>
      </w:r>
      <w:r w:rsidRPr="00477BD4">
        <w:rPr>
          <w:rFonts w:eastAsiaTheme="minorHAnsi" w:cstheme="minorBidi"/>
          <w:sz w:val="24"/>
          <w:szCs w:val="24"/>
          <w:lang w:eastAsia="en-US"/>
        </w:rPr>
        <w:t>majetok bol najmenej o 1 500-násobok minimálnej mzdy vyšší, ako preukázateľné príjmy. Na základe Nariadenia vlády Slovenskej republiky č. 321/2013 Z.</w:t>
      </w:r>
      <w:r>
        <w:rPr>
          <w:rFonts w:eastAsiaTheme="minorHAnsi" w:cstheme="minorBidi"/>
          <w:sz w:val="24"/>
          <w:szCs w:val="24"/>
          <w:lang w:eastAsia="en-US"/>
        </w:rPr>
        <w:t xml:space="preserve"> </w:t>
      </w:r>
      <w:r w:rsidRPr="00477BD4">
        <w:rPr>
          <w:rFonts w:eastAsiaTheme="minorHAnsi" w:cstheme="minorBidi"/>
          <w:sz w:val="24"/>
          <w:szCs w:val="24"/>
          <w:lang w:eastAsia="en-US"/>
        </w:rPr>
        <w:t>z., ktorým sa ustanovuje suma minimálnej mzdy na rok 2014 predstavoval</w:t>
      </w:r>
      <w:r>
        <w:rPr>
          <w:rFonts w:eastAsiaTheme="minorHAnsi" w:cstheme="minorBidi"/>
          <w:sz w:val="24"/>
          <w:szCs w:val="24"/>
          <w:lang w:eastAsia="en-US"/>
        </w:rPr>
        <w:t xml:space="preserve"> </w:t>
      </w:r>
      <w:r w:rsidRPr="00477BD4">
        <w:rPr>
          <w:rFonts w:eastAsiaTheme="minorHAnsi" w:cstheme="minorBidi"/>
          <w:sz w:val="24"/>
          <w:szCs w:val="24"/>
          <w:lang w:eastAsia="en-US"/>
        </w:rPr>
        <w:t>1 500-násobok sumu 528.000,- EUR (na rok 2015 je to</w:t>
      </w:r>
      <w:r>
        <w:rPr>
          <w:rFonts w:eastAsiaTheme="minorHAnsi" w:cstheme="minorBidi"/>
          <w:sz w:val="24"/>
          <w:szCs w:val="24"/>
          <w:lang w:eastAsia="en-US"/>
        </w:rPr>
        <w:t xml:space="preserve"> </w:t>
      </w:r>
      <w:r w:rsidRPr="00477BD4">
        <w:rPr>
          <w:rFonts w:eastAsiaTheme="minorHAnsi" w:cstheme="minorBidi"/>
          <w:sz w:val="24"/>
          <w:szCs w:val="24"/>
          <w:lang w:eastAsia="en-US"/>
        </w:rPr>
        <w:t>570.000,- EUR). Z</w:t>
      </w:r>
      <w:r>
        <w:rPr>
          <w:rFonts w:eastAsiaTheme="minorHAnsi" w:cstheme="minorBidi"/>
          <w:sz w:val="24"/>
          <w:szCs w:val="24"/>
          <w:lang w:eastAsia="en-US"/>
        </w:rPr>
        <w:t>o 7 podaných podnetov prokurátor vrátil 5 na doplnenie. Jeden podnet z roku 2013</w:t>
      </w:r>
      <w:r w:rsidRPr="00477BD4">
        <w:rPr>
          <w:rFonts w:eastAsiaTheme="minorHAnsi" w:cstheme="minorBidi"/>
          <w:sz w:val="24"/>
          <w:szCs w:val="24"/>
          <w:lang w:eastAsia="en-US"/>
        </w:rPr>
        <w:t xml:space="preserve"> odstúpil na príslušný súd ako návrh na</w:t>
      </w:r>
      <w:r>
        <w:rPr>
          <w:rFonts w:eastAsiaTheme="minorHAnsi" w:cstheme="minorBidi"/>
          <w:sz w:val="24"/>
          <w:szCs w:val="24"/>
          <w:lang w:eastAsia="en-US"/>
        </w:rPr>
        <w:t> </w:t>
      </w:r>
      <w:r w:rsidRPr="00477BD4">
        <w:rPr>
          <w:rFonts w:eastAsiaTheme="minorHAnsi" w:cstheme="minorBidi"/>
          <w:sz w:val="24"/>
          <w:szCs w:val="24"/>
          <w:lang w:eastAsia="en-US"/>
        </w:rPr>
        <w:t>začatie konania o vyslovenie nadobudnutia majetku z nelegálnych príjmov, ktorý bol</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následne koncom roka 2014 späť vzatý. </w:t>
      </w:r>
      <w:r>
        <w:rPr>
          <w:rFonts w:eastAsiaTheme="minorHAnsi" w:cstheme="minorBidi"/>
          <w:sz w:val="24"/>
          <w:szCs w:val="24"/>
          <w:lang w:eastAsia="en-US"/>
        </w:rPr>
        <w:t>K 31.12.2014 ostali na prokuratúre 2 podnety.</w:t>
      </w:r>
    </w:p>
    <w:p w14:paraId="066E7156"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V 19 ukončených prípadoch bol zistený majetok nižší, ako 1 500-násobok minimálnej mzdy, resp. majetok nepresahoval preukázateľné príjmy najmenej o 1 500-násobok minimálnej mzdy. Z uvedeného počtu išlo v jednom prípade o zistenie majetku po</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opakovane vrátenom podnete prokurátora a v 5 prípadoch po vrátení podnetu prokurátora, kde sa </w:t>
      </w:r>
      <w:r w:rsidRPr="00477BD4">
        <w:rPr>
          <w:rFonts w:eastAsiaTheme="minorHAnsi" w:cstheme="minorBidi"/>
          <w:sz w:val="24"/>
          <w:szCs w:val="24"/>
          <w:lang w:eastAsia="en-US"/>
        </w:rPr>
        <w:lastRenderedPageBreak/>
        <w:t>v danom období preverovaná osoba „zbavila majetku“, alebo boli potvrdené skutočnosti uvedené preverovanou osobou pri podaní vysvetlenia a dôkazy predložené preverovanou osobou o zákonnom spôsobe nadobudnutia majetku. Vo zvyšných 5 ukončených prípadoch oznámenie nespĺňalo povinné náležitosti zákona o preukazovaní pôvodu majetku. Ostatných 28 prípadov zostalo v štádiu preverovania.</w:t>
      </w:r>
      <w:r>
        <w:rPr>
          <w:rFonts w:eastAsiaTheme="minorHAnsi" w:cstheme="minorBidi"/>
          <w:sz w:val="24"/>
          <w:szCs w:val="24"/>
          <w:lang w:eastAsia="en-US"/>
        </w:rPr>
        <w:t xml:space="preserve"> </w:t>
      </w:r>
    </w:p>
    <w:p w14:paraId="55FE95EE" w14:textId="77777777" w:rsidR="00216BD5" w:rsidRPr="00477BD4" w:rsidRDefault="00216BD5" w:rsidP="00216BD5">
      <w:pPr>
        <w:spacing w:after="120"/>
        <w:rPr>
          <w:rFonts w:eastAsiaTheme="minorHAnsi" w:cstheme="minorBidi"/>
          <w:sz w:val="24"/>
          <w:szCs w:val="24"/>
          <w:lang w:eastAsia="en-US"/>
        </w:rPr>
      </w:pPr>
    </w:p>
    <w:p w14:paraId="22CAB350" w14:textId="77777777" w:rsidR="00216BD5" w:rsidRPr="00477BD4" w:rsidRDefault="00216BD5" w:rsidP="00216BD5">
      <w:pPr>
        <w:spacing w:after="120"/>
        <w:rPr>
          <w:rFonts w:eastAsiaTheme="minorHAnsi" w:cstheme="minorBidi"/>
          <w:sz w:val="24"/>
          <w:szCs w:val="24"/>
          <w:lang w:eastAsia="en-US"/>
        </w:rPr>
      </w:pPr>
      <w:r w:rsidRPr="00477BD4">
        <w:rPr>
          <w:rFonts w:eastAsiaTheme="minorHAnsi" w:cstheme="minorBidi"/>
          <w:lang w:eastAsia="en-US"/>
        </w:rPr>
        <w:t xml:space="preserve">Tabuľka č. </w:t>
      </w:r>
      <w:r>
        <w:rPr>
          <w:rFonts w:eastAsiaTheme="minorHAnsi" w:cstheme="minorBidi"/>
          <w:lang w:eastAsia="en-US"/>
        </w:rPr>
        <w:t>19</w:t>
      </w:r>
      <w:r w:rsidRPr="00477BD4">
        <w:rPr>
          <w:rFonts w:eastAsiaTheme="minorHAnsi" w:cstheme="minorBidi"/>
          <w:lang w:eastAsia="en-US"/>
        </w:rPr>
        <w:t>: Prípady preverovania pôvodu majetku v roku 2014</w:t>
      </w:r>
      <w:r w:rsidRPr="00477BD4">
        <w:rPr>
          <w:rFonts w:eastAsiaTheme="minorHAnsi" w:cstheme="minorBidi"/>
          <w:sz w:val="24"/>
          <w:szCs w:val="24"/>
          <w:lang w:eastAsia="en-US"/>
        </w:rPr>
        <w:tab/>
      </w:r>
    </w:p>
    <w:tbl>
      <w:tblPr>
        <w:tblStyle w:val="Mriekatabuky2"/>
        <w:tblW w:w="9067" w:type="dxa"/>
        <w:tblLayout w:type="fixed"/>
        <w:tblLook w:val="04A0" w:firstRow="1" w:lastRow="0" w:firstColumn="1" w:lastColumn="0" w:noHBand="0" w:noVBand="1"/>
      </w:tblPr>
      <w:tblGrid>
        <w:gridCol w:w="817"/>
        <w:gridCol w:w="1163"/>
        <w:gridCol w:w="1276"/>
        <w:gridCol w:w="1134"/>
        <w:gridCol w:w="963"/>
        <w:gridCol w:w="879"/>
        <w:gridCol w:w="1106"/>
        <w:gridCol w:w="992"/>
        <w:gridCol w:w="737"/>
      </w:tblGrid>
      <w:tr w:rsidR="00216BD5" w:rsidRPr="00477BD4" w14:paraId="25DC88E3" w14:textId="77777777" w:rsidTr="006703BB">
        <w:trPr>
          <w:trHeight w:val="255"/>
        </w:trPr>
        <w:tc>
          <w:tcPr>
            <w:tcW w:w="9067" w:type="dxa"/>
            <w:gridSpan w:val="9"/>
            <w:shd w:val="clear" w:color="auto" w:fill="FFE599" w:themeFill="accent4" w:themeFillTint="66"/>
          </w:tcPr>
          <w:p w14:paraId="554DD476" w14:textId="77777777" w:rsidR="00216BD5" w:rsidRPr="00477BD4" w:rsidRDefault="00216BD5" w:rsidP="006703BB">
            <w:pPr>
              <w:spacing w:after="120"/>
              <w:jc w:val="center"/>
              <w:rPr>
                <w:rFonts w:eastAsiaTheme="minorHAnsi" w:cstheme="minorBidi"/>
                <w:b/>
                <w:sz w:val="24"/>
                <w:szCs w:val="24"/>
                <w:lang w:eastAsia="en-US"/>
              </w:rPr>
            </w:pPr>
            <w:r w:rsidRPr="00477BD4">
              <w:rPr>
                <w:rFonts w:eastAsiaTheme="minorHAnsi" w:cstheme="minorBidi"/>
                <w:b/>
                <w:sz w:val="24"/>
                <w:szCs w:val="24"/>
                <w:lang w:eastAsia="en-US"/>
              </w:rPr>
              <w:t>Prípady preverovania majetku realizované v roku 2014</w:t>
            </w:r>
          </w:p>
        </w:tc>
      </w:tr>
      <w:tr w:rsidR="00216BD5" w:rsidRPr="00477BD4" w14:paraId="0D88B037" w14:textId="77777777" w:rsidTr="006703BB">
        <w:trPr>
          <w:cantSplit/>
          <w:trHeight w:hRule="exact" w:val="907"/>
        </w:trPr>
        <w:tc>
          <w:tcPr>
            <w:tcW w:w="817" w:type="dxa"/>
            <w:shd w:val="clear" w:color="auto" w:fill="FFF2CC" w:themeFill="accent4" w:themeFillTint="33"/>
          </w:tcPr>
          <w:p w14:paraId="187C3406" w14:textId="77777777" w:rsidR="00216BD5" w:rsidRPr="00477BD4" w:rsidRDefault="00216BD5" w:rsidP="006703BB">
            <w:pPr>
              <w:spacing w:after="120"/>
              <w:rPr>
                <w:rFonts w:eastAsiaTheme="minorHAnsi" w:cstheme="minorBidi"/>
                <w:lang w:eastAsia="en-US"/>
              </w:rPr>
            </w:pPr>
            <w:r w:rsidRPr="00477BD4">
              <w:rPr>
                <w:rFonts w:eastAsiaTheme="minorHAnsi" w:cstheme="minorBidi"/>
                <w:lang w:eastAsia="en-US"/>
              </w:rPr>
              <w:t>Prešlo z roku 2013</w:t>
            </w:r>
          </w:p>
        </w:tc>
        <w:tc>
          <w:tcPr>
            <w:tcW w:w="4536" w:type="dxa"/>
            <w:gridSpan w:val="4"/>
            <w:shd w:val="clear" w:color="auto" w:fill="FFF2CC" w:themeFill="accent4" w:themeFillTint="33"/>
            <w:vAlign w:val="center"/>
          </w:tcPr>
          <w:p w14:paraId="6FE48F90"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Počet spisov prijatých v roku 2014</w:t>
            </w:r>
          </w:p>
        </w:tc>
        <w:tc>
          <w:tcPr>
            <w:tcW w:w="2977" w:type="dxa"/>
            <w:gridSpan w:val="3"/>
            <w:shd w:val="clear" w:color="auto" w:fill="FFF2CC" w:themeFill="accent4" w:themeFillTint="33"/>
            <w:vAlign w:val="center"/>
          </w:tcPr>
          <w:p w14:paraId="2E6468CC"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Počet spisov ukončených v roku 2014</w:t>
            </w:r>
          </w:p>
        </w:tc>
        <w:tc>
          <w:tcPr>
            <w:tcW w:w="737" w:type="dxa"/>
            <w:shd w:val="clear" w:color="auto" w:fill="FFF2CC" w:themeFill="accent4" w:themeFillTint="33"/>
          </w:tcPr>
          <w:p w14:paraId="5D1519B9" w14:textId="77777777" w:rsidR="00216BD5" w:rsidRPr="00477BD4" w:rsidRDefault="00216BD5" w:rsidP="006703BB">
            <w:pPr>
              <w:spacing w:after="120"/>
              <w:rPr>
                <w:rFonts w:eastAsiaTheme="minorHAnsi" w:cstheme="minorBidi"/>
                <w:lang w:eastAsia="en-US"/>
              </w:rPr>
            </w:pPr>
            <w:r w:rsidRPr="00477BD4">
              <w:rPr>
                <w:rFonts w:eastAsiaTheme="minorHAnsi" w:cstheme="minorBidi"/>
                <w:lang w:eastAsia="en-US"/>
              </w:rPr>
              <w:t>Prešlo do roku</w:t>
            </w:r>
            <w:r>
              <w:rPr>
                <w:rFonts w:eastAsiaTheme="minorHAnsi" w:cstheme="minorBidi"/>
                <w:lang w:eastAsia="en-US"/>
              </w:rPr>
              <w:t xml:space="preserve"> 2015 </w:t>
            </w:r>
            <w:r w:rsidRPr="00477BD4">
              <w:rPr>
                <w:rFonts w:eastAsiaTheme="minorHAnsi" w:cstheme="minorBidi"/>
                <w:lang w:eastAsia="en-US"/>
              </w:rPr>
              <w:t xml:space="preserve"> </w:t>
            </w:r>
            <w:r>
              <w:rPr>
                <w:rFonts w:eastAsiaTheme="minorHAnsi" w:cstheme="minorBidi"/>
                <w:lang w:eastAsia="en-US"/>
              </w:rPr>
              <w:t>2020002015</w:t>
            </w:r>
            <w:r w:rsidRPr="00477BD4">
              <w:rPr>
                <w:rFonts w:eastAsiaTheme="minorHAnsi" w:cstheme="minorBidi"/>
                <w:lang w:eastAsia="en-US"/>
              </w:rPr>
              <w:t>2015</w:t>
            </w:r>
          </w:p>
        </w:tc>
      </w:tr>
      <w:tr w:rsidR="00216BD5" w:rsidRPr="00477BD4" w14:paraId="28454196" w14:textId="77777777" w:rsidTr="006703BB">
        <w:trPr>
          <w:cantSplit/>
          <w:trHeight w:hRule="exact" w:val="907"/>
        </w:trPr>
        <w:tc>
          <w:tcPr>
            <w:tcW w:w="817" w:type="dxa"/>
            <w:vMerge w:val="restart"/>
            <w:shd w:val="clear" w:color="auto" w:fill="FFF2CC" w:themeFill="accent4" w:themeFillTint="33"/>
            <w:vAlign w:val="center"/>
          </w:tcPr>
          <w:p w14:paraId="4FDCF7EF" w14:textId="77777777" w:rsidR="00216BD5" w:rsidRPr="00477BD4" w:rsidRDefault="00216BD5" w:rsidP="006703BB">
            <w:pPr>
              <w:spacing w:after="120"/>
              <w:rPr>
                <w:rFonts w:eastAsiaTheme="minorHAnsi" w:cstheme="minorBidi"/>
                <w:sz w:val="24"/>
                <w:szCs w:val="24"/>
                <w:lang w:eastAsia="en-US"/>
              </w:rPr>
            </w:pPr>
            <w:r w:rsidRPr="00477BD4">
              <w:rPr>
                <w:rFonts w:eastAsiaTheme="minorHAnsi" w:cstheme="minorBidi"/>
                <w:sz w:val="24"/>
                <w:szCs w:val="24"/>
                <w:lang w:eastAsia="en-US"/>
              </w:rPr>
              <w:t>36</w:t>
            </w:r>
          </w:p>
        </w:tc>
        <w:tc>
          <w:tcPr>
            <w:tcW w:w="1163" w:type="dxa"/>
            <w:shd w:val="clear" w:color="auto" w:fill="FFF2CC" w:themeFill="accent4" w:themeFillTint="33"/>
          </w:tcPr>
          <w:p w14:paraId="6B207060" w14:textId="77777777" w:rsidR="00216BD5" w:rsidRPr="00477BD4" w:rsidRDefault="00216BD5" w:rsidP="006703BB">
            <w:pPr>
              <w:spacing w:after="120"/>
              <w:jc w:val="center"/>
              <w:rPr>
                <w:rFonts w:eastAsiaTheme="minorHAnsi" w:cstheme="minorBidi"/>
                <w:lang w:eastAsia="en-US"/>
              </w:rPr>
            </w:pPr>
            <w:r w:rsidRPr="00477BD4">
              <w:rPr>
                <w:rFonts w:eastAsiaTheme="minorHAnsi" w:cstheme="minorBidi"/>
                <w:lang w:eastAsia="en-US"/>
              </w:rPr>
              <w:t>Oznámenia občanov</w:t>
            </w:r>
          </w:p>
        </w:tc>
        <w:tc>
          <w:tcPr>
            <w:tcW w:w="1276" w:type="dxa"/>
            <w:shd w:val="clear" w:color="auto" w:fill="FFF2CC" w:themeFill="accent4" w:themeFillTint="33"/>
          </w:tcPr>
          <w:p w14:paraId="568409EF" w14:textId="77777777" w:rsidR="00216BD5" w:rsidRPr="00477BD4" w:rsidRDefault="00216BD5" w:rsidP="006703BB">
            <w:pPr>
              <w:spacing w:after="120"/>
              <w:jc w:val="center"/>
              <w:rPr>
                <w:rFonts w:eastAsiaTheme="minorHAnsi" w:cstheme="minorBidi"/>
                <w:lang w:eastAsia="en-US"/>
              </w:rPr>
            </w:pPr>
            <w:r w:rsidRPr="00477BD4">
              <w:rPr>
                <w:rFonts w:eastAsiaTheme="minorHAnsi" w:cstheme="minorBidi"/>
                <w:lang w:eastAsia="en-US"/>
              </w:rPr>
              <w:t>Oznámenia právnických osôb</w:t>
            </w:r>
          </w:p>
        </w:tc>
        <w:tc>
          <w:tcPr>
            <w:tcW w:w="1134" w:type="dxa"/>
            <w:shd w:val="clear" w:color="auto" w:fill="FFF2CC" w:themeFill="accent4" w:themeFillTint="33"/>
          </w:tcPr>
          <w:p w14:paraId="227E07CB" w14:textId="77777777" w:rsidR="00216BD5" w:rsidRPr="00477BD4" w:rsidRDefault="00216BD5" w:rsidP="006703BB">
            <w:pPr>
              <w:spacing w:after="120"/>
              <w:jc w:val="center"/>
              <w:rPr>
                <w:rFonts w:eastAsiaTheme="minorHAnsi" w:cstheme="minorBidi"/>
                <w:lang w:eastAsia="en-US"/>
              </w:rPr>
            </w:pPr>
            <w:r w:rsidRPr="00477BD4">
              <w:rPr>
                <w:rFonts w:eastAsiaTheme="minorHAnsi" w:cstheme="minorBidi"/>
                <w:lang w:eastAsia="en-US"/>
              </w:rPr>
              <w:t>Oznámenia orgánov ver. moci</w:t>
            </w:r>
          </w:p>
        </w:tc>
        <w:tc>
          <w:tcPr>
            <w:tcW w:w="963" w:type="dxa"/>
            <w:shd w:val="clear" w:color="auto" w:fill="FFF2CC" w:themeFill="accent4" w:themeFillTint="33"/>
          </w:tcPr>
          <w:p w14:paraId="57FDB4C9" w14:textId="77777777" w:rsidR="00216BD5" w:rsidRPr="00477BD4" w:rsidRDefault="00216BD5" w:rsidP="006703BB">
            <w:pPr>
              <w:spacing w:after="120"/>
              <w:jc w:val="center"/>
              <w:rPr>
                <w:rFonts w:eastAsiaTheme="minorHAnsi" w:cstheme="minorBidi"/>
                <w:lang w:eastAsia="en-US"/>
              </w:rPr>
            </w:pPr>
            <w:r w:rsidRPr="00477BD4">
              <w:rPr>
                <w:rFonts w:eastAsiaTheme="minorHAnsi" w:cstheme="minorBidi"/>
                <w:lang w:eastAsia="en-US"/>
              </w:rPr>
              <w:t>Vlastné podnety</w:t>
            </w:r>
          </w:p>
        </w:tc>
        <w:tc>
          <w:tcPr>
            <w:tcW w:w="879" w:type="dxa"/>
            <w:shd w:val="clear" w:color="auto" w:fill="FFF2CC" w:themeFill="accent4" w:themeFillTint="33"/>
          </w:tcPr>
          <w:p w14:paraId="3B0D6C25" w14:textId="77777777" w:rsidR="00216BD5" w:rsidRPr="00477BD4" w:rsidRDefault="00216BD5" w:rsidP="006703BB">
            <w:pPr>
              <w:spacing w:after="120"/>
              <w:jc w:val="center"/>
              <w:rPr>
                <w:rFonts w:eastAsiaTheme="minorHAnsi" w:cstheme="minorBidi"/>
                <w:lang w:eastAsia="en-US"/>
              </w:rPr>
            </w:pPr>
            <w:r w:rsidRPr="00477BD4">
              <w:rPr>
                <w:rFonts w:eastAsiaTheme="minorHAnsi" w:cstheme="minorBidi"/>
                <w:lang w:eastAsia="en-US"/>
              </w:rPr>
              <w:t>Podnet na</w:t>
            </w:r>
            <w:r>
              <w:rPr>
                <w:rFonts w:eastAsiaTheme="minorHAnsi" w:cstheme="minorBidi"/>
                <w:lang w:eastAsia="en-US"/>
              </w:rPr>
              <w:t xml:space="preserve"> </w:t>
            </w:r>
            <w:r w:rsidRPr="00477BD4">
              <w:rPr>
                <w:rFonts w:eastAsiaTheme="minorHAnsi" w:cstheme="minorBidi"/>
                <w:lang w:eastAsia="en-US"/>
              </w:rPr>
              <w:t>proku-ratúru</w:t>
            </w:r>
          </w:p>
        </w:tc>
        <w:tc>
          <w:tcPr>
            <w:tcW w:w="1106" w:type="dxa"/>
            <w:shd w:val="clear" w:color="auto" w:fill="FFF2CC" w:themeFill="accent4" w:themeFillTint="33"/>
          </w:tcPr>
          <w:p w14:paraId="0CFA9B37" w14:textId="77777777" w:rsidR="00216BD5" w:rsidRPr="00477BD4" w:rsidRDefault="00216BD5" w:rsidP="006703BB">
            <w:pPr>
              <w:spacing w:after="120"/>
              <w:jc w:val="center"/>
              <w:rPr>
                <w:rFonts w:eastAsiaTheme="minorHAnsi" w:cstheme="minorBidi"/>
                <w:lang w:eastAsia="en-US"/>
              </w:rPr>
            </w:pPr>
            <w:r w:rsidRPr="00477BD4">
              <w:rPr>
                <w:rFonts w:eastAsiaTheme="minorHAnsi" w:cstheme="minorBidi"/>
                <w:lang w:eastAsia="en-US"/>
              </w:rPr>
              <w:t>Nesplnené zákonné náležitosti</w:t>
            </w:r>
          </w:p>
        </w:tc>
        <w:tc>
          <w:tcPr>
            <w:tcW w:w="992" w:type="dxa"/>
            <w:shd w:val="clear" w:color="auto" w:fill="FFF2CC" w:themeFill="accent4" w:themeFillTint="33"/>
          </w:tcPr>
          <w:p w14:paraId="0521434F" w14:textId="77777777" w:rsidR="00216BD5" w:rsidRPr="00477BD4" w:rsidRDefault="00216BD5" w:rsidP="006703BB">
            <w:pPr>
              <w:spacing w:after="120"/>
              <w:jc w:val="center"/>
              <w:rPr>
                <w:rFonts w:eastAsiaTheme="minorHAnsi" w:cstheme="minorBidi"/>
                <w:lang w:eastAsia="en-US"/>
              </w:rPr>
            </w:pPr>
            <w:r w:rsidRPr="00477BD4">
              <w:rPr>
                <w:rFonts w:eastAsiaTheme="minorHAnsi" w:cstheme="minorBidi"/>
                <w:lang w:eastAsia="en-US"/>
              </w:rPr>
              <w:t>V súlade so zákonom</w:t>
            </w:r>
          </w:p>
        </w:tc>
        <w:tc>
          <w:tcPr>
            <w:tcW w:w="737" w:type="dxa"/>
            <w:vMerge w:val="restart"/>
            <w:shd w:val="clear" w:color="auto" w:fill="FFF2CC" w:themeFill="accent4" w:themeFillTint="33"/>
            <w:vAlign w:val="center"/>
          </w:tcPr>
          <w:p w14:paraId="681FD542"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28</w:t>
            </w:r>
          </w:p>
        </w:tc>
      </w:tr>
      <w:tr w:rsidR="00216BD5" w:rsidRPr="00477BD4" w14:paraId="3D66A469" w14:textId="77777777" w:rsidTr="006703BB">
        <w:trPr>
          <w:cantSplit/>
          <w:trHeight w:hRule="exact" w:val="284"/>
        </w:trPr>
        <w:tc>
          <w:tcPr>
            <w:tcW w:w="817" w:type="dxa"/>
            <w:vMerge/>
            <w:shd w:val="clear" w:color="auto" w:fill="FFF2CC" w:themeFill="accent4" w:themeFillTint="33"/>
          </w:tcPr>
          <w:p w14:paraId="03F1CD98" w14:textId="77777777" w:rsidR="00216BD5" w:rsidRPr="00477BD4" w:rsidRDefault="00216BD5" w:rsidP="006703BB">
            <w:pPr>
              <w:spacing w:after="120"/>
              <w:rPr>
                <w:rFonts w:eastAsiaTheme="minorHAnsi" w:cstheme="minorBidi"/>
                <w:sz w:val="24"/>
                <w:szCs w:val="24"/>
                <w:lang w:eastAsia="en-US"/>
              </w:rPr>
            </w:pPr>
          </w:p>
        </w:tc>
        <w:tc>
          <w:tcPr>
            <w:tcW w:w="1163" w:type="dxa"/>
            <w:shd w:val="clear" w:color="auto" w:fill="FFF2CC" w:themeFill="accent4" w:themeFillTint="33"/>
          </w:tcPr>
          <w:p w14:paraId="6E68F93D"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6</w:t>
            </w:r>
          </w:p>
        </w:tc>
        <w:tc>
          <w:tcPr>
            <w:tcW w:w="1276" w:type="dxa"/>
            <w:shd w:val="clear" w:color="auto" w:fill="FFF2CC" w:themeFill="accent4" w:themeFillTint="33"/>
          </w:tcPr>
          <w:p w14:paraId="4C2E7BC4"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4</w:t>
            </w:r>
          </w:p>
        </w:tc>
        <w:tc>
          <w:tcPr>
            <w:tcW w:w="1134" w:type="dxa"/>
            <w:shd w:val="clear" w:color="auto" w:fill="FFF2CC" w:themeFill="accent4" w:themeFillTint="33"/>
          </w:tcPr>
          <w:p w14:paraId="2E4EE98B"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0</w:t>
            </w:r>
          </w:p>
        </w:tc>
        <w:tc>
          <w:tcPr>
            <w:tcW w:w="963" w:type="dxa"/>
            <w:shd w:val="clear" w:color="auto" w:fill="FFF2CC" w:themeFill="accent4" w:themeFillTint="33"/>
          </w:tcPr>
          <w:p w14:paraId="24623D15"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8</w:t>
            </w:r>
          </w:p>
        </w:tc>
        <w:tc>
          <w:tcPr>
            <w:tcW w:w="879" w:type="dxa"/>
            <w:shd w:val="clear" w:color="auto" w:fill="FFF2CC" w:themeFill="accent4" w:themeFillTint="33"/>
          </w:tcPr>
          <w:p w14:paraId="67CE2252"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2</w:t>
            </w:r>
          </w:p>
        </w:tc>
        <w:tc>
          <w:tcPr>
            <w:tcW w:w="1106" w:type="dxa"/>
            <w:shd w:val="clear" w:color="auto" w:fill="FFF2CC" w:themeFill="accent4" w:themeFillTint="33"/>
          </w:tcPr>
          <w:p w14:paraId="6A079FDE"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5</w:t>
            </w:r>
          </w:p>
        </w:tc>
        <w:tc>
          <w:tcPr>
            <w:tcW w:w="992" w:type="dxa"/>
            <w:shd w:val="clear" w:color="auto" w:fill="FFF2CC" w:themeFill="accent4" w:themeFillTint="33"/>
          </w:tcPr>
          <w:p w14:paraId="418D000F" w14:textId="77777777" w:rsidR="00216BD5" w:rsidRPr="00477BD4" w:rsidRDefault="00216BD5" w:rsidP="006703BB">
            <w:pPr>
              <w:spacing w:after="120"/>
              <w:jc w:val="center"/>
              <w:rPr>
                <w:rFonts w:eastAsiaTheme="minorHAnsi" w:cstheme="minorBidi"/>
                <w:sz w:val="24"/>
                <w:szCs w:val="24"/>
                <w:lang w:eastAsia="en-US"/>
              </w:rPr>
            </w:pPr>
            <w:r w:rsidRPr="00477BD4">
              <w:rPr>
                <w:rFonts w:eastAsiaTheme="minorHAnsi" w:cstheme="minorBidi"/>
                <w:sz w:val="24"/>
                <w:szCs w:val="24"/>
                <w:lang w:eastAsia="en-US"/>
              </w:rPr>
              <w:t>19</w:t>
            </w:r>
          </w:p>
        </w:tc>
        <w:tc>
          <w:tcPr>
            <w:tcW w:w="737" w:type="dxa"/>
            <w:vMerge/>
            <w:shd w:val="clear" w:color="auto" w:fill="FFF2CC" w:themeFill="accent4" w:themeFillTint="33"/>
          </w:tcPr>
          <w:p w14:paraId="59481551" w14:textId="77777777" w:rsidR="00216BD5" w:rsidRPr="00477BD4" w:rsidRDefault="00216BD5" w:rsidP="006703BB">
            <w:pPr>
              <w:spacing w:after="120"/>
              <w:jc w:val="center"/>
              <w:rPr>
                <w:rFonts w:eastAsiaTheme="minorHAnsi" w:cstheme="minorBidi"/>
                <w:sz w:val="24"/>
                <w:szCs w:val="24"/>
                <w:lang w:eastAsia="en-US"/>
              </w:rPr>
            </w:pPr>
          </w:p>
        </w:tc>
      </w:tr>
    </w:tbl>
    <w:p w14:paraId="25BE1DC6" w14:textId="77777777" w:rsidR="00216BD5" w:rsidRDefault="00216BD5" w:rsidP="00216BD5">
      <w:pPr>
        <w:spacing w:after="120"/>
        <w:rPr>
          <w:rFonts w:eastAsiaTheme="minorHAnsi" w:cstheme="minorBidi"/>
          <w:sz w:val="24"/>
          <w:szCs w:val="24"/>
          <w:lang w:eastAsia="en-US"/>
        </w:rPr>
      </w:pPr>
    </w:p>
    <w:p w14:paraId="0988EF4D" w14:textId="77777777" w:rsidR="00216BD5" w:rsidRDefault="00216BD5" w:rsidP="00216BD5">
      <w:pPr>
        <w:pStyle w:val="Nzovkapitoly"/>
      </w:pPr>
      <w:bookmarkStart w:id="15" w:name="_Toc382129841"/>
      <w:bookmarkStart w:id="16" w:name="_Toc382130003"/>
      <w:bookmarkStart w:id="17" w:name="_Toc382130534"/>
      <w:bookmarkStart w:id="18" w:name="_Toc382141493"/>
      <w:bookmarkStart w:id="19" w:name="_Toc382141690"/>
      <w:bookmarkStart w:id="20" w:name="_Toc412466395"/>
    </w:p>
    <w:p w14:paraId="6551238E" w14:textId="77777777" w:rsidR="00216BD5" w:rsidRPr="00380837" w:rsidRDefault="00216BD5" w:rsidP="00216BD5">
      <w:pPr>
        <w:pStyle w:val="Nzovkapitoly"/>
      </w:pPr>
      <w:r w:rsidRPr="00380837">
        <w:t>6. Analytická činnosť</w:t>
      </w:r>
      <w:bookmarkEnd w:id="15"/>
      <w:bookmarkEnd w:id="16"/>
      <w:bookmarkEnd w:id="17"/>
      <w:bookmarkEnd w:id="18"/>
      <w:bookmarkEnd w:id="19"/>
      <w:bookmarkEnd w:id="20"/>
    </w:p>
    <w:p w14:paraId="74CDDC78" w14:textId="77777777" w:rsidR="00216BD5" w:rsidRDefault="00216BD5" w:rsidP="00216BD5">
      <w:pPr>
        <w:rPr>
          <w:sz w:val="24"/>
          <w:szCs w:val="24"/>
        </w:rPr>
      </w:pPr>
    </w:p>
    <w:p w14:paraId="188FD84A" w14:textId="77777777" w:rsidR="00216BD5" w:rsidRDefault="00216BD5" w:rsidP="00216BD5">
      <w:pPr>
        <w:rPr>
          <w:sz w:val="24"/>
          <w:szCs w:val="24"/>
        </w:rPr>
      </w:pPr>
    </w:p>
    <w:p w14:paraId="6169498D" w14:textId="77777777" w:rsidR="00216BD5" w:rsidRDefault="00216BD5" w:rsidP="00216BD5">
      <w:pPr>
        <w:spacing w:after="120"/>
        <w:ind w:firstLineChars="295" w:firstLine="708"/>
        <w:rPr>
          <w:sz w:val="24"/>
          <w:szCs w:val="24"/>
        </w:rPr>
      </w:pPr>
      <w:r>
        <w:rPr>
          <w:sz w:val="24"/>
          <w:szCs w:val="24"/>
        </w:rPr>
        <w:t>Plnenie povinností vyplývajúcich FSJ z § 27 zákona o ochrane pred legalizáciou, najmä viesť súhrnné štatistické údaje, ktoré zahŕňajú počet prijatých hlásení o NOO, jednotlivé spôsoby spracovania hlásení o NOO, ich počet, vrátane počtu prípadov odstúpených OČTK alebo správcom daní za kalendárny rok, počet stíhaných osôb, počet osôb odsúdených za trestný čin legalizácie príjmu z trestnej činnosti, hodnotu zaisteného, prepadnutého alebo zhabaného majetku, realizuje analytické oddelenie.</w:t>
      </w:r>
    </w:p>
    <w:p w14:paraId="1F3788AE" w14:textId="77777777" w:rsidR="00216BD5" w:rsidRPr="005E3855" w:rsidRDefault="00216BD5" w:rsidP="00216BD5">
      <w:pPr>
        <w:spacing w:after="120"/>
        <w:ind w:firstLineChars="295" w:firstLine="708"/>
        <w:rPr>
          <w:sz w:val="24"/>
          <w:szCs w:val="24"/>
        </w:rPr>
      </w:pPr>
      <w:r>
        <w:rPr>
          <w:sz w:val="24"/>
          <w:szCs w:val="24"/>
        </w:rPr>
        <w:t>K ďalším pravidelným aktivitám a</w:t>
      </w:r>
      <w:r w:rsidRPr="005E3855">
        <w:rPr>
          <w:sz w:val="24"/>
          <w:szCs w:val="24"/>
        </w:rPr>
        <w:t>nalytické</w:t>
      </w:r>
      <w:r>
        <w:rPr>
          <w:sz w:val="24"/>
          <w:szCs w:val="24"/>
        </w:rPr>
        <w:t>ho</w:t>
      </w:r>
      <w:r w:rsidRPr="005E3855">
        <w:rPr>
          <w:sz w:val="24"/>
          <w:szCs w:val="24"/>
        </w:rPr>
        <w:t xml:space="preserve"> oddeleni</w:t>
      </w:r>
      <w:r>
        <w:rPr>
          <w:sz w:val="24"/>
          <w:szCs w:val="24"/>
        </w:rPr>
        <w:t xml:space="preserve">a je </w:t>
      </w:r>
      <w:r w:rsidRPr="005E3855">
        <w:rPr>
          <w:sz w:val="24"/>
          <w:szCs w:val="24"/>
        </w:rPr>
        <w:t>poskyt</w:t>
      </w:r>
      <w:r>
        <w:rPr>
          <w:sz w:val="24"/>
          <w:szCs w:val="24"/>
        </w:rPr>
        <w:t>ovanie</w:t>
      </w:r>
      <w:r w:rsidRPr="005E3855">
        <w:rPr>
          <w:sz w:val="24"/>
          <w:szCs w:val="24"/>
        </w:rPr>
        <w:t xml:space="preserve"> súhrnn</w:t>
      </w:r>
      <w:r>
        <w:rPr>
          <w:sz w:val="24"/>
          <w:szCs w:val="24"/>
        </w:rPr>
        <w:t>ých</w:t>
      </w:r>
      <w:r w:rsidRPr="005E3855">
        <w:rPr>
          <w:sz w:val="24"/>
          <w:szCs w:val="24"/>
        </w:rPr>
        <w:t xml:space="preserve"> písomn</w:t>
      </w:r>
      <w:r>
        <w:rPr>
          <w:sz w:val="24"/>
          <w:szCs w:val="24"/>
        </w:rPr>
        <w:t xml:space="preserve">ých </w:t>
      </w:r>
      <w:r w:rsidRPr="005E3855">
        <w:rPr>
          <w:sz w:val="24"/>
          <w:szCs w:val="24"/>
        </w:rPr>
        <w:t>informáci</w:t>
      </w:r>
      <w:r>
        <w:rPr>
          <w:sz w:val="24"/>
          <w:szCs w:val="24"/>
        </w:rPr>
        <w:t>í</w:t>
      </w:r>
      <w:r w:rsidRPr="005E3855">
        <w:rPr>
          <w:sz w:val="24"/>
          <w:szCs w:val="24"/>
        </w:rPr>
        <w:t xml:space="preserve"> o účinnosti nimi zasielaných hlásení o NOO povinným osobám s</w:t>
      </w:r>
      <w:r>
        <w:rPr>
          <w:sz w:val="24"/>
          <w:szCs w:val="24"/>
        </w:rPr>
        <w:t> </w:t>
      </w:r>
      <w:r w:rsidRPr="005E3855">
        <w:rPr>
          <w:sz w:val="24"/>
          <w:szCs w:val="24"/>
        </w:rPr>
        <w:t>cieľom, aby povinná osoba mala konkrétny prehľad o svojich jednotlivých hláseniach a</w:t>
      </w:r>
      <w:r>
        <w:rPr>
          <w:sz w:val="24"/>
          <w:szCs w:val="24"/>
        </w:rPr>
        <w:t> </w:t>
      </w:r>
      <w:r w:rsidRPr="005E3855">
        <w:rPr>
          <w:sz w:val="24"/>
          <w:szCs w:val="24"/>
        </w:rPr>
        <w:t>najmä ich následnej využiteľnosti.</w:t>
      </w:r>
    </w:p>
    <w:p w14:paraId="3083489D" w14:textId="77777777" w:rsidR="00216BD5" w:rsidRDefault="00216BD5" w:rsidP="00216BD5">
      <w:pPr>
        <w:spacing w:after="120"/>
        <w:ind w:firstLineChars="295" w:firstLine="708"/>
        <w:rPr>
          <w:sz w:val="24"/>
          <w:szCs w:val="24"/>
        </w:rPr>
      </w:pPr>
      <w:r>
        <w:rPr>
          <w:sz w:val="24"/>
          <w:szCs w:val="24"/>
        </w:rPr>
        <w:t xml:space="preserve">Medzi úlohy zverené do pôsobnosti </w:t>
      </w:r>
      <w:r w:rsidRPr="005E3855">
        <w:rPr>
          <w:sz w:val="24"/>
          <w:szCs w:val="24"/>
        </w:rPr>
        <w:t xml:space="preserve">analytického oddelenia patrí navrhovanie úprav a zmien relevantnej legislatívy a súvisiacich interných </w:t>
      </w:r>
      <w:r>
        <w:rPr>
          <w:sz w:val="24"/>
          <w:szCs w:val="24"/>
        </w:rPr>
        <w:t>predpisov</w:t>
      </w:r>
      <w:r w:rsidRPr="005E3855">
        <w:rPr>
          <w:sz w:val="24"/>
          <w:szCs w:val="24"/>
        </w:rPr>
        <w:t>, zhromažďovanie podkladov potrebných</w:t>
      </w:r>
      <w:r>
        <w:rPr>
          <w:sz w:val="24"/>
          <w:szCs w:val="24"/>
        </w:rPr>
        <w:t xml:space="preserve"> </w:t>
      </w:r>
      <w:r w:rsidRPr="005E3855">
        <w:rPr>
          <w:sz w:val="24"/>
          <w:szCs w:val="24"/>
        </w:rPr>
        <w:t xml:space="preserve"> pre spracúvanie stanovísk k všeobecne záväzným právnym predpisom a interným predpisom predložených do pripomienkového konania, vedenie evidencie a kontroly plnenia úloh a ich vyhodnocovanie, ktoré pre FSJ vyplývajú z uznesení vlády SR, ročného plánu Prezídia </w:t>
      </w:r>
      <w:r>
        <w:rPr>
          <w:sz w:val="24"/>
          <w:szCs w:val="24"/>
        </w:rPr>
        <w:t>PZ</w:t>
      </w:r>
      <w:r w:rsidRPr="005E3855">
        <w:rPr>
          <w:sz w:val="24"/>
          <w:szCs w:val="24"/>
        </w:rPr>
        <w:t>, ako aj z</w:t>
      </w:r>
      <w:r>
        <w:rPr>
          <w:sz w:val="24"/>
          <w:szCs w:val="24"/>
        </w:rPr>
        <w:t> </w:t>
      </w:r>
      <w:r w:rsidRPr="005E3855">
        <w:rPr>
          <w:sz w:val="24"/>
          <w:szCs w:val="24"/>
        </w:rPr>
        <w:t>ďalších</w:t>
      </w:r>
      <w:r>
        <w:rPr>
          <w:sz w:val="24"/>
          <w:szCs w:val="24"/>
        </w:rPr>
        <w:t xml:space="preserve"> plánovacích</w:t>
      </w:r>
      <w:r w:rsidRPr="005E3855">
        <w:rPr>
          <w:sz w:val="24"/>
          <w:szCs w:val="24"/>
        </w:rPr>
        <w:t xml:space="preserve"> dokumentov. Analytické oddelenie zverejňuje na podnet ostatných oddelení FSJ informácie o formách a spôsoboch legalizácie príjmov z trestnej činnosti a financovania </w:t>
      </w:r>
      <w:r>
        <w:rPr>
          <w:sz w:val="24"/>
          <w:szCs w:val="24"/>
        </w:rPr>
        <w:t>terorizmu a o spôsoboch rozpoznávania NOO.</w:t>
      </w:r>
    </w:p>
    <w:p w14:paraId="37857ADD" w14:textId="77777777" w:rsidR="00216BD5" w:rsidRDefault="00216BD5" w:rsidP="00216BD5">
      <w:pPr>
        <w:spacing w:after="120"/>
        <w:ind w:firstLineChars="295" w:firstLine="708"/>
        <w:rPr>
          <w:sz w:val="24"/>
          <w:szCs w:val="24"/>
        </w:rPr>
      </w:pPr>
      <w:r>
        <w:rPr>
          <w:sz w:val="24"/>
          <w:szCs w:val="24"/>
        </w:rPr>
        <w:t>K najdôležitejším a nepochybne najnáročnejším úlohám, ktoré analytické oddelenie plní, je každodenné udržiavanie plnej funkčnosti komplexného informačného systému FSJ.</w:t>
      </w:r>
    </w:p>
    <w:p w14:paraId="16C7433C" w14:textId="77777777" w:rsidR="00216BD5" w:rsidRDefault="00216BD5" w:rsidP="00216BD5">
      <w:pPr>
        <w:spacing w:after="120"/>
        <w:ind w:firstLineChars="295" w:firstLine="708"/>
        <w:rPr>
          <w:sz w:val="24"/>
          <w:szCs w:val="24"/>
        </w:rPr>
      </w:pPr>
      <w:r>
        <w:rPr>
          <w:sz w:val="24"/>
          <w:szCs w:val="24"/>
        </w:rPr>
        <w:t xml:space="preserve">Vo výlučnej pôsobnosti analytického oddelenia je prijímanie, spracovávanie, analýza a vyhodnocovanie plnenia ohlasovacej povinnosti podľa </w:t>
      </w:r>
      <w:r w:rsidRPr="00380A0A">
        <w:rPr>
          <w:rFonts w:eastAsia="Batang"/>
          <w:sz w:val="24"/>
          <w:szCs w:val="24"/>
        </w:rPr>
        <w:t>§ 4 ods. 4 Colného zákona</w:t>
      </w:r>
      <w:r>
        <w:rPr>
          <w:rFonts w:eastAsia="Batang"/>
          <w:sz w:val="24"/>
          <w:szCs w:val="24"/>
        </w:rPr>
        <w:t>.</w:t>
      </w:r>
    </w:p>
    <w:p w14:paraId="756B0B31" w14:textId="77777777" w:rsidR="00216BD5" w:rsidRDefault="00216BD5" w:rsidP="00216BD5">
      <w:pPr>
        <w:spacing w:after="120"/>
        <w:ind w:firstLineChars="295" w:firstLine="708"/>
        <w:rPr>
          <w:sz w:val="24"/>
          <w:szCs w:val="24"/>
        </w:rPr>
      </w:pPr>
    </w:p>
    <w:p w14:paraId="2699520F" w14:textId="77777777" w:rsidR="00216BD5" w:rsidRDefault="00216BD5" w:rsidP="00216BD5">
      <w:pPr>
        <w:spacing w:after="120"/>
        <w:ind w:firstLineChars="295" w:firstLine="708"/>
        <w:rPr>
          <w:sz w:val="24"/>
          <w:szCs w:val="24"/>
        </w:rPr>
      </w:pPr>
    </w:p>
    <w:p w14:paraId="62EDDBA5" w14:textId="77777777" w:rsidR="00216BD5" w:rsidRDefault="00216BD5" w:rsidP="00216BD5">
      <w:pPr>
        <w:pStyle w:val="Podnadpis"/>
        <w:spacing w:after="120"/>
      </w:pPr>
      <w:bookmarkStart w:id="21" w:name="_Toc382129842"/>
      <w:bookmarkStart w:id="22" w:name="_Toc382130004"/>
      <w:bookmarkStart w:id="23" w:name="_Toc382130535"/>
      <w:bookmarkStart w:id="24" w:name="_Toc382141494"/>
      <w:bookmarkStart w:id="25" w:name="_Toc382141691"/>
      <w:bookmarkStart w:id="26" w:name="_Toc412466396"/>
      <w:r>
        <w:lastRenderedPageBreak/>
        <w:t xml:space="preserve">6.1 </w:t>
      </w:r>
      <w:r w:rsidRPr="00625E69">
        <w:t>Preprava peňažných prostriedkov v hotovosti (Cezhraničné ohlasovanie)</w:t>
      </w:r>
      <w:bookmarkEnd w:id="21"/>
      <w:bookmarkEnd w:id="22"/>
      <w:bookmarkEnd w:id="23"/>
      <w:bookmarkEnd w:id="24"/>
      <w:bookmarkEnd w:id="25"/>
      <w:bookmarkEnd w:id="26"/>
    </w:p>
    <w:p w14:paraId="5A102CBF" w14:textId="77777777" w:rsidR="00216BD5" w:rsidRPr="00E11645" w:rsidRDefault="00216BD5" w:rsidP="00216BD5">
      <w:pPr>
        <w:rPr>
          <w:lang w:eastAsia="en-US"/>
        </w:rPr>
      </w:pPr>
    </w:p>
    <w:p w14:paraId="39917321" w14:textId="77777777" w:rsidR="00216BD5" w:rsidRDefault="00216BD5" w:rsidP="00216BD5">
      <w:pPr>
        <w:spacing w:after="120"/>
        <w:ind w:firstLine="709"/>
        <w:rPr>
          <w:rFonts w:eastAsia="Batang"/>
          <w:sz w:val="24"/>
          <w:szCs w:val="24"/>
        </w:rPr>
      </w:pPr>
      <w:r w:rsidRPr="00380A0A">
        <w:rPr>
          <w:rFonts w:eastAsia="Batang"/>
          <w:sz w:val="24"/>
          <w:szCs w:val="24"/>
        </w:rPr>
        <w:t>FSJ v roku 201</w:t>
      </w:r>
      <w:r>
        <w:rPr>
          <w:rFonts w:eastAsia="Batang"/>
          <w:sz w:val="24"/>
          <w:szCs w:val="24"/>
        </w:rPr>
        <w:t>4</w:t>
      </w:r>
      <w:r w:rsidRPr="00380A0A">
        <w:rPr>
          <w:rFonts w:eastAsia="Batang"/>
          <w:sz w:val="24"/>
          <w:szCs w:val="24"/>
        </w:rPr>
        <w:t xml:space="preserve"> prijala podľa § 4 ods. 4 Colného zákona od Colného riaditeľstva Slovenskej republiky </w:t>
      </w:r>
      <w:r>
        <w:rPr>
          <w:rFonts w:eastAsia="Batang"/>
          <w:sz w:val="24"/>
          <w:szCs w:val="24"/>
        </w:rPr>
        <w:t xml:space="preserve">celkovo </w:t>
      </w:r>
      <w:r>
        <w:rPr>
          <w:rFonts w:eastAsia="Batang"/>
          <w:bCs/>
          <w:sz w:val="24"/>
          <w:szCs w:val="24"/>
        </w:rPr>
        <w:t xml:space="preserve">59 </w:t>
      </w:r>
      <w:r w:rsidRPr="00380A0A">
        <w:rPr>
          <w:rFonts w:eastAsia="Batang"/>
          <w:sz w:val="24"/>
          <w:szCs w:val="24"/>
        </w:rPr>
        <w:t xml:space="preserve">ohlásení o preprave peňažných prostriedkov v hotovosti v celkovej výške </w:t>
      </w:r>
      <w:r>
        <w:rPr>
          <w:rFonts w:eastAsia="Batang"/>
          <w:bCs/>
          <w:sz w:val="24"/>
          <w:szCs w:val="24"/>
        </w:rPr>
        <w:t>1.764.189,33</w:t>
      </w:r>
      <w:r w:rsidRPr="00380A0A">
        <w:rPr>
          <w:rFonts w:eastAsia="Batang"/>
          <w:bCs/>
          <w:sz w:val="24"/>
          <w:szCs w:val="24"/>
        </w:rPr>
        <w:t xml:space="preserve"> EUR</w:t>
      </w:r>
      <w:r>
        <w:rPr>
          <w:rFonts w:eastAsia="Batang"/>
          <w:bCs/>
          <w:sz w:val="24"/>
          <w:szCs w:val="24"/>
        </w:rPr>
        <w:t xml:space="preserve">, 1 oznámenie o porušení colných predpisov podľa § 72 ods. 1 písm. n) Colného zákona a 1 poznatok z výkonu služby z colného oddelenia Colného úradu Košice o zaslaní </w:t>
      </w:r>
      <w:r>
        <w:rPr>
          <w:rFonts w:eastAsia="Batang"/>
          <w:sz w:val="24"/>
          <w:szCs w:val="24"/>
        </w:rPr>
        <w:t xml:space="preserve">peňažných prostriedkov v balíku. </w:t>
      </w:r>
    </w:p>
    <w:p w14:paraId="1BFA875E" w14:textId="77777777" w:rsidR="00216BD5" w:rsidRDefault="00216BD5" w:rsidP="00216BD5">
      <w:pPr>
        <w:spacing w:after="120"/>
        <w:ind w:firstLine="709"/>
        <w:rPr>
          <w:rFonts w:eastAsia="Batang"/>
          <w:sz w:val="24"/>
          <w:szCs w:val="24"/>
        </w:rPr>
      </w:pPr>
      <w:r>
        <w:rPr>
          <w:rFonts w:eastAsia="Batang"/>
          <w:sz w:val="24"/>
          <w:szCs w:val="24"/>
        </w:rPr>
        <w:t xml:space="preserve">Z celkového počtu </w:t>
      </w:r>
      <w:r w:rsidRPr="00380A0A">
        <w:rPr>
          <w:rFonts w:eastAsia="Batang"/>
          <w:sz w:val="24"/>
          <w:szCs w:val="24"/>
        </w:rPr>
        <w:t>ohlásení o preprave peňažných prostriedkov</w:t>
      </w:r>
      <w:r>
        <w:rPr>
          <w:rFonts w:eastAsia="Batang"/>
          <w:sz w:val="24"/>
          <w:szCs w:val="24"/>
        </w:rPr>
        <w:t xml:space="preserve"> z cestného hraničného priechodu Vyšné Nemecké bolo prijatých 50 ohlásení. Z uvedeného počtu 49 ohlásení súviselo so vstupom na územie SR a 1 ohlásenie sa vzťahovalo na výstup z územia SR. Z cestného hraničného priechodu Ubľa FSJ prijala 5 ohlásení, všetky súviseli so vstupom na územie SR. Z colného úradu Bratislava, pobočka Bratislava, Letisko M. R. Štefánika FSJ prijala 4 ohlásenia  (2 ohlásenia súviseli so vstupom a 2 ohlásenia sa týkali výstupu).</w:t>
      </w:r>
    </w:p>
    <w:p w14:paraId="7527D479" w14:textId="77777777" w:rsidR="00216BD5" w:rsidRPr="00891BCC" w:rsidRDefault="00216BD5" w:rsidP="00216BD5">
      <w:pPr>
        <w:spacing w:after="120"/>
        <w:ind w:firstLine="709"/>
        <w:rPr>
          <w:rFonts w:eastAsia="Batang"/>
          <w:sz w:val="24"/>
          <w:szCs w:val="24"/>
        </w:rPr>
      </w:pPr>
      <w:r>
        <w:rPr>
          <w:rFonts w:eastAsia="Batang"/>
          <w:sz w:val="24"/>
          <w:szCs w:val="24"/>
        </w:rPr>
        <w:t xml:space="preserve">Povinnými osobami plniacimi si povinnosť podľa § 4 ods. 2 Colného zákona boli vo väčšine prípadov občania Ukrajiny, Maďarska, Ruska a Rumunska. </w:t>
      </w:r>
    </w:p>
    <w:p w14:paraId="140F100F" w14:textId="77777777" w:rsidR="00216BD5" w:rsidRDefault="00216BD5" w:rsidP="00216BD5">
      <w:pPr>
        <w:spacing w:after="120"/>
        <w:ind w:firstLine="709"/>
        <w:rPr>
          <w:rFonts w:eastAsia="Batang"/>
          <w:sz w:val="24"/>
          <w:szCs w:val="24"/>
        </w:rPr>
      </w:pPr>
      <w:r>
        <w:rPr>
          <w:rFonts w:eastAsia="Batang"/>
          <w:sz w:val="24"/>
          <w:szCs w:val="24"/>
        </w:rPr>
        <w:t>Najčastejšie deklarovaným ú</w:t>
      </w:r>
      <w:r w:rsidRPr="00891BCC">
        <w:rPr>
          <w:rFonts w:eastAsia="Batang"/>
          <w:sz w:val="24"/>
          <w:szCs w:val="24"/>
        </w:rPr>
        <w:t>čelom použitia prepravovanej peňažnej hotovosti bol</w:t>
      </w:r>
      <w:r>
        <w:rPr>
          <w:rFonts w:eastAsia="Batang"/>
          <w:sz w:val="24"/>
          <w:szCs w:val="24"/>
        </w:rPr>
        <w:t xml:space="preserve"> vklad na účet vedený v banke so sídlom na území SR, prípadne v banke so sídlom na území Maďarskej republiky, </w:t>
      </w:r>
      <w:r w:rsidRPr="00891BCC">
        <w:rPr>
          <w:rFonts w:eastAsia="Batang"/>
          <w:sz w:val="24"/>
          <w:szCs w:val="24"/>
        </w:rPr>
        <w:t xml:space="preserve">kúpa motorového vozidla na Slovensku, </w:t>
      </w:r>
      <w:r>
        <w:rPr>
          <w:rFonts w:eastAsia="Batang"/>
          <w:sz w:val="24"/>
          <w:szCs w:val="24"/>
        </w:rPr>
        <w:t xml:space="preserve">v Česku, Nemecku, Poľsku, Taliansku, Španielsku </w:t>
      </w:r>
      <w:r w:rsidRPr="00891BCC">
        <w:rPr>
          <w:rFonts w:eastAsia="Batang"/>
          <w:sz w:val="24"/>
          <w:szCs w:val="24"/>
        </w:rPr>
        <w:t>a</w:t>
      </w:r>
      <w:r>
        <w:rPr>
          <w:rFonts w:eastAsia="Batang"/>
          <w:sz w:val="24"/>
          <w:szCs w:val="24"/>
        </w:rPr>
        <w:t> </w:t>
      </w:r>
      <w:r w:rsidRPr="00891BCC">
        <w:rPr>
          <w:rFonts w:eastAsia="Batang"/>
          <w:sz w:val="24"/>
          <w:szCs w:val="24"/>
        </w:rPr>
        <w:t>v</w:t>
      </w:r>
      <w:r>
        <w:rPr>
          <w:rFonts w:eastAsia="Batang"/>
          <w:sz w:val="24"/>
          <w:szCs w:val="24"/>
        </w:rPr>
        <w:t> </w:t>
      </w:r>
      <w:r w:rsidRPr="00891BCC">
        <w:rPr>
          <w:rFonts w:eastAsia="Batang"/>
          <w:sz w:val="24"/>
          <w:szCs w:val="24"/>
        </w:rPr>
        <w:t>Maďarsku</w:t>
      </w:r>
      <w:r>
        <w:rPr>
          <w:rFonts w:eastAsia="Batang"/>
          <w:sz w:val="24"/>
          <w:szCs w:val="24"/>
        </w:rPr>
        <w:t>. Povinné osoby ako dôvod prepravy peňažných prostriedkov tiež deklarovali nákup nehnuteľností a vecí osobnej potreby.</w:t>
      </w:r>
    </w:p>
    <w:p w14:paraId="20E7CAB8" w14:textId="77777777" w:rsidR="00216BD5" w:rsidRDefault="00216BD5" w:rsidP="00216BD5">
      <w:pPr>
        <w:pStyle w:val="Odsekzoznamu"/>
        <w:spacing w:after="120" w:line="240" w:lineRule="auto"/>
        <w:ind w:left="0" w:firstLine="709"/>
        <w:jc w:val="both"/>
        <w:rPr>
          <w:rFonts w:cs="Times New Roman"/>
          <w:szCs w:val="24"/>
        </w:rPr>
      </w:pPr>
      <w:r w:rsidRPr="00891BCC">
        <w:rPr>
          <w:rFonts w:cs="Times New Roman"/>
          <w:szCs w:val="24"/>
        </w:rPr>
        <w:t>Informácie z prijatých ohlásení o preprave peňažných prostriedkov v hotovosti boli</w:t>
      </w:r>
      <w:r>
        <w:rPr>
          <w:rFonts w:cs="Times New Roman"/>
          <w:szCs w:val="24"/>
        </w:rPr>
        <w:t xml:space="preserve"> </w:t>
      </w:r>
      <w:r w:rsidRPr="00891BCC">
        <w:rPr>
          <w:rFonts w:cs="Times New Roman"/>
          <w:szCs w:val="24"/>
        </w:rPr>
        <w:t>po</w:t>
      </w:r>
      <w:r>
        <w:rPr>
          <w:rFonts w:cs="Times New Roman"/>
          <w:szCs w:val="24"/>
        </w:rPr>
        <w:t> </w:t>
      </w:r>
      <w:r w:rsidRPr="00891BCC">
        <w:rPr>
          <w:rFonts w:cs="Times New Roman"/>
          <w:szCs w:val="24"/>
        </w:rPr>
        <w:t>vykonanom preverovaní v dostupných informačných systémoch PZ, vrátane informačného systému FSJ a </w:t>
      </w:r>
      <w:r>
        <w:rPr>
          <w:rFonts w:cs="Times New Roman"/>
          <w:szCs w:val="24"/>
        </w:rPr>
        <w:t xml:space="preserve">otvorených zdrojoch uložené do komplexného informačného systému </w:t>
      </w:r>
      <w:r w:rsidRPr="00891BCC">
        <w:rPr>
          <w:rFonts w:cs="Times New Roman"/>
          <w:szCs w:val="24"/>
        </w:rPr>
        <w:t>FSJ pre</w:t>
      </w:r>
      <w:r>
        <w:rPr>
          <w:rFonts w:cs="Times New Roman"/>
          <w:szCs w:val="24"/>
        </w:rPr>
        <w:t> </w:t>
      </w:r>
      <w:r w:rsidRPr="00891BCC">
        <w:rPr>
          <w:rFonts w:cs="Times New Roman"/>
          <w:szCs w:val="24"/>
        </w:rPr>
        <w:t>ďalšie využitie (</w:t>
      </w:r>
      <w:r>
        <w:rPr>
          <w:rFonts w:cs="Times New Roman"/>
          <w:szCs w:val="24"/>
        </w:rPr>
        <w:t>v počte 56</w:t>
      </w:r>
      <w:r w:rsidRPr="00891BCC">
        <w:rPr>
          <w:rFonts w:cs="Times New Roman"/>
          <w:szCs w:val="24"/>
        </w:rPr>
        <w:t>), v troch prípadoch bola odstúpená spontánna informácia pre</w:t>
      </w:r>
      <w:r>
        <w:rPr>
          <w:rFonts w:cs="Times New Roman"/>
          <w:szCs w:val="24"/>
        </w:rPr>
        <w:t> </w:t>
      </w:r>
      <w:r w:rsidRPr="00891BCC">
        <w:rPr>
          <w:rFonts w:cs="Times New Roman"/>
          <w:szCs w:val="24"/>
        </w:rPr>
        <w:t>ďalšie využitie FIU Ukrajina</w:t>
      </w:r>
      <w:r>
        <w:rPr>
          <w:rFonts w:cs="Times New Roman"/>
          <w:szCs w:val="24"/>
        </w:rPr>
        <w:t>.</w:t>
      </w:r>
      <w:r w:rsidRPr="00891BCC">
        <w:rPr>
          <w:rFonts w:cs="Times New Roman"/>
          <w:szCs w:val="24"/>
        </w:rPr>
        <w:t xml:space="preserve"> </w:t>
      </w:r>
    </w:p>
    <w:p w14:paraId="7758C251" w14:textId="77777777" w:rsidR="00216BD5" w:rsidRDefault="00216BD5" w:rsidP="00216BD5">
      <w:pPr>
        <w:spacing w:after="120"/>
        <w:rPr>
          <w:rFonts w:eastAsia="Batang"/>
        </w:rPr>
      </w:pPr>
    </w:p>
    <w:p w14:paraId="23239696" w14:textId="77777777" w:rsidR="00216BD5" w:rsidRDefault="00216BD5" w:rsidP="00216BD5">
      <w:pPr>
        <w:spacing w:after="120"/>
      </w:pPr>
      <w:r w:rsidRPr="00E03B03">
        <w:rPr>
          <w:rFonts w:eastAsia="Batang"/>
        </w:rPr>
        <w:t xml:space="preserve">Tabuľka č. </w:t>
      </w:r>
      <w:r>
        <w:rPr>
          <w:rFonts w:eastAsia="Batang"/>
        </w:rPr>
        <w:t xml:space="preserve">20: </w:t>
      </w:r>
      <w:r w:rsidRPr="00E03B03">
        <w:t>Prehľad</w:t>
      </w:r>
      <w:r w:rsidRPr="00F668A0">
        <w:t xml:space="preserve"> počtov hlásení o preprave peňažných prostriedkov z/do Európskej únie prijatých</w:t>
      </w:r>
      <w:r>
        <w:t xml:space="preserve"> FSJ</w:t>
      </w:r>
      <w:r w:rsidRPr="00F668A0">
        <w:t xml:space="preserve"> a výšky prepravovaných peňažných prostriedkov v rokoch 20</w:t>
      </w:r>
      <w:r>
        <w:t>09</w:t>
      </w:r>
      <w:r w:rsidRPr="00F668A0">
        <w:t xml:space="preserve"> </w:t>
      </w:r>
      <w:r>
        <w:t>–</w:t>
      </w:r>
      <w:r w:rsidRPr="00F668A0">
        <w:t xml:space="preserve"> 201</w:t>
      </w:r>
      <w: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081"/>
        <w:gridCol w:w="3081"/>
      </w:tblGrid>
      <w:tr w:rsidR="00216BD5" w:rsidRPr="00257297" w14:paraId="55B101BB" w14:textId="77777777" w:rsidTr="006703BB">
        <w:trPr>
          <w:trHeight w:val="737"/>
        </w:trPr>
        <w:tc>
          <w:tcPr>
            <w:tcW w:w="2971" w:type="dxa"/>
            <w:shd w:val="clear" w:color="auto" w:fill="BDD6EE" w:themeFill="accent1" w:themeFillTint="66"/>
            <w:vAlign w:val="center"/>
          </w:tcPr>
          <w:p w14:paraId="2754C765" w14:textId="77777777" w:rsidR="00216BD5" w:rsidRPr="00E11645" w:rsidRDefault="00216BD5" w:rsidP="006703BB">
            <w:pPr>
              <w:jc w:val="center"/>
              <w:rPr>
                <w:b/>
                <w:bCs/>
                <w:sz w:val="24"/>
                <w:szCs w:val="24"/>
              </w:rPr>
            </w:pPr>
            <w:r w:rsidRPr="00E11645">
              <w:rPr>
                <w:b/>
                <w:bCs/>
                <w:sz w:val="24"/>
                <w:szCs w:val="24"/>
              </w:rPr>
              <w:t>R</w:t>
            </w:r>
            <w:r>
              <w:rPr>
                <w:b/>
                <w:bCs/>
                <w:sz w:val="24"/>
                <w:szCs w:val="24"/>
              </w:rPr>
              <w:t>ok</w:t>
            </w:r>
          </w:p>
        </w:tc>
        <w:tc>
          <w:tcPr>
            <w:tcW w:w="3081" w:type="dxa"/>
            <w:shd w:val="clear" w:color="auto" w:fill="BDD6EE" w:themeFill="accent1" w:themeFillTint="66"/>
            <w:vAlign w:val="center"/>
          </w:tcPr>
          <w:p w14:paraId="7A722B6E" w14:textId="77777777" w:rsidR="00216BD5" w:rsidRPr="00E11645" w:rsidRDefault="00216BD5" w:rsidP="006703BB">
            <w:pPr>
              <w:jc w:val="center"/>
              <w:rPr>
                <w:b/>
                <w:bCs/>
                <w:sz w:val="24"/>
                <w:szCs w:val="24"/>
              </w:rPr>
            </w:pPr>
            <w:r w:rsidRPr="00E11645">
              <w:rPr>
                <w:b/>
                <w:bCs/>
                <w:sz w:val="24"/>
                <w:szCs w:val="24"/>
              </w:rPr>
              <w:t>P</w:t>
            </w:r>
            <w:r>
              <w:rPr>
                <w:b/>
                <w:bCs/>
                <w:sz w:val="24"/>
                <w:szCs w:val="24"/>
              </w:rPr>
              <w:t>očet prijatých ohlásení</w:t>
            </w:r>
          </w:p>
        </w:tc>
        <w:tc>
          <w:tcPr>
            <w:tcW w:w="3081" w:type="dxa"/>
            <w:shd w:val="clear" w:color="auto" w:fill="BDD6EE" w:themeFill="accent1" w:themeFillTint="66"/>
            <w:vAlign w:val="center"/>
          </w:tcPr>
          <w:p w14:paraId="08F90E94" w14:textId="77777777" w:rsidR="00216BD5" w:rsidRPr="00E11645" w:rsidRDefault="00216BD5" w:rsidP="006703BB">
            <w:pPr>
              <w:jc w:val="center"/>
              <w:rPr>
                <w:b/>
                <w:bCs/>
                <w:sz w:val="24"/>
                <w:szCs w:val="24"/>
              </w:rPr>
            </w:pPr>
            <w:r w:rsidRPr="00E11645">
              <w:rPr>
                <w:b/>
                <w:bCs/>
                <w:sz w:val="24"/>
                <w:szCs w:val="24"/>
              </w:rPr>
              <w:t>V</w:t>
            </w:r>
            <w:r>
              <w:rPr>
                <w:b/>
                <w:bCs/>
                <w:sz w:val="24"/>
                <w:szCs w:val="24"/>
              </w:rPr>
              <w:t xml:space="preserve">ýška prepravovaných peňažných prostriedkov     v </w:t>
            </w:r>
            <w:r w:rsidRPr="00E11645">
              <w:rPr>
                <w:b/>
                <w:bCs/>
                <w:sz w:val="24"/>
                <w:szCs w:val="24"/>
              </w:rPr>
              <w:t>EUR</w:t>
            </w:r>
          </w:p>
        </w:tc>
      </w:tr>
      <w:tr w:rsidR="00216BD5" w:rsidRPr="00257297" w14:paraId="3FFDF8FA" w14:textId="77777777" w:rsidTr="006703BB">
        <w:trPr>
          <w:trHeight w:val="737"/>
        </w:trPr>
        <w:tc>
          <w:tcPr>
            <w:tcW w:w="2971" w:type="dxa"/>
            <w:shd w:val="clear" w:color="auto" w:fill="DEEAF6" w:themeFill="accent1" w:themeFillTint="33"/>
            <w:vAlign w:val="center"/>
          </w:tcPr>
          <w:p w14:paraId="029C4518" w14:textId="77777777" w:rsidR="00216BD5" w:rsidRPr="00257297" w:rsidRDefault="00216BD5" w:rsidP="006703BB">
            <w:pPr>
              <w:jc w:val="center"/>
              <w:rPr>
                <w:b/>
                <w:bCs/>
                <w:sz w:val="24"/>
                <w:szCs w:val="24"/>
              </w:rPr>
            </w:pPr>
            <w:r w:rsidRPr="00257297">
              <w:rPr>
                <w:b/>
                <w:bCs/>
                <w:sz w:val="24"/>
                <w:szCs w:val="24"/>
              </w:rPr>
              <w:t>2009</w:t>
            </w:r>
          </w:p>
        </w:tc>
        <w:tc>
          <w:tcPr>
            <w:tcW w:w="3081" w:type="dxa"/>
            <w:shd w:val="clear" w:color="auto" w:fill="DEEAF6" w:themeFill="accent1" w:themeFillTint="33"/>
            <w:vAlign w:val="center"/>
          </w:tcPr>
          <w:p w14:paraId="40135B3F" w14:textId="77777777" w:rsidR="00216BD5" w:rsidRPr="00257297" w:rsidRDefault="00216BD5" w:rsidP="006703BB">
            <w:pPr>
              <w:jc w:val="center"/>
              <w:rPr>
                <w:sz w:val="24"/>
                <w:szCs w:val="24"/>
              </w:rPr>
            </w:pPr>
            <w:r w:rsidRPr="00257297">
              <w:rPr>
                <w:sz w:val="24"/>
                <w:szCs w:val="24"/>
              </w:rPr>
              <w:t>5</w:t>
            </w:r>
          </w:p>
        </w:tc>
        <w:tc>
          <w:tcPr>
            <w:tcW w:w="3081" w:type="dxa"/>
            <w:shd w:val="clear" w:color="auto" w:fill="DEEAF6" w:themeFill="accent1" w:themeFillTint="33"/>
            <w:vAlign w:val="center"/>
          </w:tcPr>
          <w:p w14:paraId="41A05C33" w14:textId="77777777" w:rsidR="00216BD5" w:rsidRPr="00257297" w:rsidRDefault="00216BD5" w:rsidP="006703BB">
            <w:pPr>
              <w:jc w:val="center"/>
              <w:rPr>
                <w:sz w:val="24"/>
                <w:szCs w:val="24"/>
              </w:rPr>
            </w:pPr>
            <w:r w:rsidRPr="00257297">
              <w:rPr>
                <w:sz w:val="24"/>
                <w:szCs w:val="24"/>
              </w:rPr>
              <w:t>125.400</w:t>
            </w:r>
          </w:p>
        </w:tc>
      </w:tr>
      <w:tr w:rsidR="00216BD5" w:rsidRPr="00257297" w14:paraId="5F308465" w14:textId="77777777" w:rsidTr="006703BB">
        <w:trPr>
          <w:trHeight w:val="737"/>
        </w:trPr>
        <w:tc>
          <w:tcPr>
            <w:tcW w:w="2971" w:type="dxa"/>
            <w:shd w:val="clear" w:color="auto" w:fill="DEEAF6" w:themeFill="accent1" w:themeFillTint="33"/>
            <w:vAlign w:val="center"/>
          </w:tcPr>
          <w:p w14:paraId="0D45709B" w14:textId="77777777" w:rsidR="00216BD5" w:rsidRPr="00257297" w:rsidRDefault="00216BD5" w:rsidP="006703BB">
            <w:pPr>
              <w:jc w:val="center"/>
              <w:rPr>
                <w:b/>
                <w:bCs/>
                <w:sz w:val="24"/>
                <w:szCs w:val="24"/>
              </w:rPr>
            </w:pPr>
            <w:r w:rsidRPr="00257297">
              <w:rPr>
                <w:b/>
                <w:bCs/>
                <w:sz w:val="24"/>
                <w:szCs w:val="24"/>
              </w:rPr>
              <w:t>2010</w:t>
            </w:r>
          </w:p>
        </w:tc>
        <w:tc>
          <w:tcPr>
            <w:tcW w:w="3081" w:type="dxa"/>
            <w:shd w:val="clear" w:color="auto" w:fill="DEEAF6" w:themeFill="accent1" w:themeFillTint="33"/>
            <w:vAlign w:val="center"/>
          </w:tcPr>
          <w:p w14:paraId="3BFD9F5C" w14:textId="77777777" w:rsidR="00216BD5" w:rsidRPr="00257297" w:rsidRDefault="00216BD5" w:rsidP="006703BB">
            <w:pPr>
              <w:jc w:val="center"/>
              <w:rPr>
                <w:sz w:val="24"/>
                <w:szCs w:val="24"/>
              </w:rPr>
            </w:pPr>
            <w:r w:rsidRPr="00257297">
              <w:rPr>
                <w:sz w:val="24"/>
                <w:szCs w:val="24"/>
              </w:rPr>
              <w:t>36</w:t>
            </w:r>
          </w:p>
        </w:tc>
        <w:tc>
          <w:tcPr>
            <w:tcW w:w="3081" w:type="dxa"/>
            <w:shd w:val="clear" w:color="auto" w:fill="DEEAF6" w:themeFill="accent1" w:themeFillTint="33"/>
            <w:vAlign w:val="center"/>
          </w:tcPr>
          <w:p w14:paraId="0BD756FB" w14:textId="77777777" w:rsidR="00216BD5" w:rsidRPr="00257297" w:rsidRDefault="00216BD5" w:rsidP="006703BB">
            <w:pPr>
              <w:jc w:val="center"/>
              <w:rPr>
                <w:sz w:val="24"/>
                <w:szCs w:val="24"/>
              </w:rPr>
            </w:pPr>
            <w:r w:rsidRPr="00257297">
              <w:rPr>
                <w:sz w:val="24"/>
                <w:szCs w:val="24"/>
              </w:rPr>
              <w:t>1.241.178</w:t>
            </w:r>
          </w:p>
        </w:tc>
      </w:tr>
      <w:tr w:rsidR="00216BD5" w:rsidRPr="00257297" w14:paraId="55EB841E" w14:textId="77777777" w:rsidTr="006703BB">
        <w:trPr>
          <w:trHeight w:val="737"/>
        </w:trPr>
        <w:tc>
          <w:tcPr>
            <w:tcW w:w="2971" w:type="dxa"/>
            <w:shd w:val="clear" w:color="auto" w:fill="DEEAF6" w:themeFill="accent1" w:themeFillTint="33"/>
            <w:vAlign w:val="center"/>
          </w:tcPr>
          <w:p w14:paraId="6353ECC8" w14:textId="77777777" w:rsidR="00216BD5" w:rsidRPr="00257297" w:rsidRDefault="00216BD5" w:rsidP="006703BB">
            <w:pPr>
              <w:jc w:val="center"/>
              <w:rPr>
                <w:b/>
                <w:bCs/>
                <w:sz w:val="24"/>
                <w:szCs w:val="24"/>
              </w:rPr>
            </w:pPr>
            <w:r w:rsidRPr="00257297">
              <w:rPr>
                <w:b/>
                <w:bCs/>
                <w:sz w:val="24"/>
                <w:szCs w:val="24"/>
              </w:rPr>
              <w:t>2011</w:t>
            </w:r>
          </w:p>
        </w:tc>
        <w:tc>
          <w:tcPr>
            <w:tcW w:w="3081" w:type="dxa"/>
            <w:shd w:val="clear" w:color="auto" w:fill="DEEAF6" w:themeFill="accent1" w:themeFillTint="33"/>
            <w:vAlign w:val="center"/>
          </w:tcPr>
          <w:p w14:paraId="25AFA98C" w14:textId="77777777" w:rsidR="00216BD5" w:rsidRPr="00257297" w:rsidRDefault="00216BD5" w:rsidP="006703BB">
            <w:pPr>
              <w:jc w:val="center"/>
              <w:rPr>
                <w:sz w:val="24"/>
                <w:szCs w:val="24"/>
              </w:rPr>
            </w:pPr>
            <w:r w:rsidRPr="00257297">
              <w:rPr>
                <w:sz w:val="24"/>
                <w:szCs w:val="24"/>
              </w:rPr>
              <w:t>66</w:t>
            </w:r>
          </w:p>
        </w:tc>
        <w:tc>
          <w:tcPr>
            <w:tcW w:w="3081" w:type="dxa"/>
            <w:shd w:val="clear" w:color="auto" w:fill="DEEAF6" w:themeFill="accent1" w:themeFillTint="33"/>
            <w:vAlign w:val="center"/>
          </w:tcPr>
          <w:p w14:paraId="5F08211F" w14:textId="77777777" w:rsidR="00216BD5" w:rsidRPr="00257297" w:rsidRDefault="00216BD5" w:rsidP="006703BB">
            <w:pPr>
              <w:jc w:val="center"/>
              <w:rPr>
                <w:sz w:val="24"/>
                <w:szCs w:val="24"/>
              </w:rPr>
            </w:pPr>
            <w:r w:rsidRPr="00257297">
              <w:rPr>
                <w:sz w:val="24"/>
                <w:szCs w:val="24"/>
              </w:rPr>
              <w:t>312.637</w:t>
            </w:r>
          </w:p>
        </w:tc>
      </w:tr>
      <w:tr w:rsidR="00216BD5" w:rsidRPr="00257297" w14:paraId="49FD1A68" w14:textId="77777777" w:rsidTr="006703BB">
        <w:trPr>
          <w:trHeight w:val="737"/>
        </w:trPr>
        <w:tc>
          <w:tcPr>
            <w:tcW w:w="2971" w:type="dxa"/>
            <w:shd w:val="clear" w:color="auto" w:fill="DEEAF6" w:themeFill="accent1" w:themeFillTint="33"/>
            <w:vAlign w:val="center"/>
          </w:tcPr>
          <w:p w14:paraId="47385547" w14:textId="77777777" w:rsidR="00216BD5" w:rsidRPr="00257297" w:rsidRDefault="00216BD5" w:rsidP="006703BB">
            <w:pPr>
              <w:jc w:val="center"/>
              <w:rPr>
                <w:b/>
                <w:bCs/>
                <w:sz w:val="24"/>
                <w:szCs w:val="24"/>
              </w:rPr>
            </w:pPr>
            <w:r w:rsidRPr="00257297">
              <w:rPr>
                <w:b/>
                <w:bCs/>
                <w:sz w:val="24"/>
                <w:szCs w:val="24"/>
              </w:rPr>
              <w:t>2012</w:t>
            </w:r>
          </w:p>
        </w:tc>
        <w:tc>
          <w:tcPr>
            <w:tcW w:w="3081" w:type="dxa"/>
            <w:shd w:val="clear" w:color="auto" w:fill="DEEAF6" w:themeFill="accent1" w:themeFillTint="33"/>
            <w:vAlign w:val="center"/>
          </w:tcPr>
          <w:p w14:paraId="572C7196" w14:textId="77777777" w:rsidR="00216BD5" w:rsidRPr="00257297" w:rsidRDefault="00216BD5" w:rsidP="006703BB">
            <w:pPr>
              <w:jc w:val="center"/>
              <w:rPr>
                <w:sz w:val="24"/>
                <w:szCs w:val="24"/>
              </w:rPr>
            </w:pPr>
            <w:r w:rsidRPr="00257297">
              <w:rPr>
                <w:sz w:val="24"/>
                <w:szCs w:val="24"/>
              </w:rPr>
              <w:t>63</w:t>
            </w:r>
          </w:p>
        </w:tc>
        <w:tc>
          <w:tcPr>
            <w:tcW w:w="3081" w:type="dxa"/>
            <w:shd w:val="clear" w:color="auto" w:fill="DEEAF6" w:themeFill="accent1" w:themeFillTint="33"/>
            <w:vAlign w:val="center"/>
          </w:tcPr>
          <w:p w14:paraId="5F0E7DCD" w14:textId="77777777" w:rsidR="00216BD5" w:rsidRPr="00257297" w:rsidRDefault="00216BD5" w:rsidP="006703BB">
            <w:pPr>
              <w:jc w:val="center"/>
              <w:rPr>
                <w:sz w:val="24"/>
                <w:szCs w:val="24"/>
              </w:rPr>
            </w:pPr>
            <w:r w:rsidRPr="00257297">
              <w:rPr>
                <w:sz w:val="24"/>
                <w:szCs w:val="24"/>
              </w:rPr>
              <w:t>1.649.419,38</w:t>
            </w:r>
          </w:p>
        </w:tc>
      </w:tr>
      <w:tr w:rsidR="00216BD5" w:rsidRPr="00257297" w14:paraId="21B7CD25" w14:textId="77777777" w:rsidTr="006703BB">
        <w:trPr>
          <w:trHeight w:val="737"/>
        </w:trPr>
        <w:tc>
          <w:tcPr>
            <w:tcW w:w="2971" w:type="dxa"/>
            <w:shd w:val="clear" w:color="auto" w:fill="DEEAF6" w:themeFill="accent1" w:themeFillTint="33"/>
            <w:vAlign w:val="center"/>
          </w:tcPr>
          <w:p w14:paraId="0DEAE811" w14:textId="77777777" w:rsidR="00216BD5" w:rsidRPr="00257297" w:rsidRDefault="00216BD5" w:rsidP="006703BB">
            <w:pPr>
              <w:jc w:val="center"/>
              <w:rPr>
                <w:b/>
                <w:bCs/>
                <w:sz w:val="24"/>
                <w:szCs w:val="24"/>
              </w:rPr>
            </w:pPr>
            <w:r w:rsidRPr="00257297">
              <w:rPr>
                <w:b/>
                <w:bCs/>
                <w:sz w:val="24"/>
                <w:szCs w:val="24"/>
              </w:rPr>
              <w:t>2013</w:t>
            </w:r>
          </w:p>
        </w:tc>
        <w:tc>
          <w:tcPr>
            <w:tcW w:w="3081" w:type="dxa"/>
            <w:shd w:val="clear" w:color="auto" w:fill="DEEAF6" w:themeFill="accent1" w:themeFillTint="33"/>
            <w:vAlign w:val="center"/>
          </w:tcPr>
          <w:p w14:paraId="07D59751" w14:textId="77777777" w:rsidR="00216BD5" w:rsidRPr="00257297" w:rsidRDefault="00216BD5" w:rsidP="006703BB">
            <w:pPr>
              <w:jc w:val="center"/>
              <w:rPr>
                <w:sz w:val="24"/>
                <w:szCs w:val="24"/>
              </w:rPr>
            </w:pPr>
            <w:r w:rsidRPr="00257297">
              <w:rPr>
                <w:sz w:val="24"/>
                <w:szCs w:val="24"/>
              </w:rPr>
              <w:t>58</w:t>
            </w:r>
          </w:p>
        </w:tc>
        <w:tc>
          <w:tcPr>
            <w:tcW w:w="3081" w:type="dxa"/>
            <w:shd w:val="clear" w:color="auto" w:fill="DEEAF6" w:themeFill="accent1" w:themeFillTint="33"/>
            <w:vAlign w:val="center"/>
          </w:tcPr>
          <w:p w14:paraId="281AA850" w14:textId="77777777" w:rsidR="00216BD5" w:rsidRPr="00257297" w:rsidRDefault="00216BD5" w:rsidP="006703BB">
            <w:pPr>
              <w:jc w:val="center"/>
              <w:rPr>
                <w:sz w:val="24"/>
                <w:szCs w:val="24"/>
              </w:rPr>
            </w:pPr>
            <w:r>
              <w:rPr>
                <w:sz w:val="24"/>
                <w:szCs w:val="24"/>
              </w:rPr>
              <w:t>1.422.131,86</w:t>
            </w:r>
          </w:p>
        </w:tc>
      </w:tr>
      <w:tr w:rsidR="00216BD5" w:rsidRPr="00257297" w14:paraId="7798D7D5" w14:textId="77777777" w:rsidTr="006703BB">
        <w:trPr>
          <w:trHeight w:val="737"/>
        </w:trPr>
        <w:tc>
          <w:tcPr>
            <w:tcW w:w="29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5D43E" w14:textId="77777777" w:rsidR="00216BD5" w:rsidRPr="00257297" w:rsidRDefault="00216BD5" w:rsidP="006703BB">
            <w:pPr>
              <w:jc w:val="center"/>
              <w:rPr>
                <w:b/>
                <w:bCs/>
                <w:sz w:val="24"/>
                <w:szCs w:val="24"/>
              </w:rPr>
            </w:pPr>
            <w:r>
              <w:rPr>
                <w:b/>
                <w:bCs/>
                <w:sz w:val="24"/>
                <w:szCs w:val="24"/>
              </w:rPr>
              <w:t>2014</w:t>
            </w:r>
          </w:p>
        </w:tc>
        <w:tc>
          <w:tcPr>
            <w:tcW w:w="30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EC1328" w14:textId="77777777" w:rsidR="00216BD5" w:rsidRPr="00257297" w:rsidRDefault="00216BD5" w:rsidP="006703BB">
            <w:pPr>
              <w:jc w:val="center"/>
              <w:rPr>
                <w:sz w:val="24"/>
                <w:szCs w:val="24"/>
              </w:rPr>
            </w:pPr>
            <w:r>
              <w:rPr>
                <w:sz w:val="24"/>
                <w:szCs w:val="24"/>
              </w:rPr>
              <w:t>59</w:t>
            </w:r>
          </w:p>
        </w:tc>
        <w:tc>
          <w:tcPr>
            <w:tcW w:w="30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A7CE0F" w14:textId="77777777" w:rsidR="00216BD5" w:rsidRPr="00257297" w:rsidRDefault="00216BD5" w:rsidP="006703BB">
            <w:pPr>
              <w:jc w:val="center"/>
              <w:rPr>
                <w:sz w:val="24"/>
                <w:szCs w:val="24"/>
              </w:rPr>
            </w:pPr>
            <w:r>
              <w:rPr>
                <w:sz w:val="24"/>
                <w:szCs w:val="24"/>
              </w:rPr>
              <w:t>1.764.189,93</w:t>
            </w:r>
          </w:p>
        </w:tc>
      </w:tr>
    </w:tbl>
    <w:p w14:paraId="3D9D0409" w14:textId="77777777" w:rsidR="00216BD5" w:rsidRDefault="00216BD5" w:rsidP="00216BD5">
      <w:pPr>
        <w:spacing w:after="120"/>
      </w:pPr>
    </w:p>
    <w:p w14:paraId="4BB09846" w14:textId="77777777" w:rsidR="00216BD5" w:rsidRDefault="00216BD5" w:rsidP="00216BD5">
      <w:pPr>
        <w:spacing w:after="120"/>
      </w:pPr>
      <w:r w:rsidRPr="00B10C3F">
        <w:t xml:space="preserve">Graf č. </w:t>
      </w:r>
      <w:r>
        <w:t>7</w:t>
      </w:r>
      <w:r w:rsidRPr="00B10C3F">
        <w:t>: Výška peňažných prostriedkov prepravovaných z/do Euró</w:t>
      </w:r>
      <w:r>
        <w:t>pskej únie v rokoch 2009 – 2014</w:t>
      </w:r>
    </w:p>
    <w:p w14:paraId="50CE8873" w14:textId="77777777" w:rsidR="00216BD5" w:rsidRDefault="00216BD5" w:rsidP="00216BD5">
      <w:pPr>
        <w:spacing w:after="120"/>
        <w:rPr>
          <w:rFonts w:eastAsia="Batang"/>
          <w:sz w:val="24"/>
          <w:szCs w:val="24"/>
        </w:rPr>
      </w:pPr>
      <w:r>
        <w:t xml:space="preserve"> </w:t>
      </w:r>
      <w:r>
        <w:rPr>
          <w:noProof/>
          <w:color w:val="E36C0A"/>
        </w:rPr>
        <w:drawing>
          <wp:inline distT="0" distB="0" distL="0" distR="0" wp14:anchorId="7608D7DF" wp14:editId="4C4E6B17">
            <wp:extent cx="5686425" cy="3533775"/>
            <wp:effectExtent l="0" t="0" r="9525" b="952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558782" w14:textId="77777777" w:rsidR="00216BD5" w:rsidRDefault="00216BD5" w:rsidP="00216BD5">
      <w:pPr>
        <w:pStyle w:val="Nzovkapitoly"/>
      </w:pPr>
      <w:bookmarkStart w:id="27" w:name="_Toc412466397"/>
    </w:p>
    <w:p w14:paraId="523C5700" w14:textId="77777777" w:rsidR="00216BD5" w:rsidRPr="00477BD4" w:rsidRDefault="00216BD5" w:rsidP="00216BD5">
      <w:pPr>
        <w:pStyle w:val="Nzovkapitoly"/>
      </w:pPr>
      <w:r>
        <w:t xml:space="preserve">7. </w:t>
      </w:r>
      <w:r w:rsidRPr="00477BD4">
        <w:t xml:space="preserve">Prognózy </w:t>
      </w:r>
      <w:r>
        <w:t>ďalšieho v</w:t>
      </w:r>
      <w:r w:rsidRPr="00477BD4">
        <w:t xml:space="preserve">ývoja </w:t>
      </w:r>
      <w:r>
        <w:t>na úseku legalizácie a financovania terorizmu</w:t>
      </w:r>
      <w:bookmarkEnd w:id="27"/>
    </w:p>
    <w:p w14:paraId="6FE26D7E" w14:textId="77777777" w:rsidR="00216BD5" w:rsidRPr="00477BD4" w:rsidRDefault="00216BD5" w:rsidP="00216BD5">
      <w:pPr>
        <w:jc w:val="center"/>
        <w:rPr>
          <w:rFonts w:eastAsiaTheme="minorHAnsi" w:cstheme="minorBidi"/>
          <w:sz w:val="24"/>
          <w:szCs w:val="24"/>
          <w:lang w:eastAsia="en-US"/>
        </w:rPr>
      </w:pPr>
    </w:p>
    <w:p w14:paraId="5C8F7A73" w14:textId="77777777" w:rsidR="00216BD5" w:rsidRDefault="00216BD5" w:rsidP="00216BD5">
      <w:pPr>
        <w:spacing w:after="120"/>
        <w:rPr>
          <w:rFonts w:eastAsiaTheme="minorHAnsi" w:cstheme="minorBidi"/>
          <w:sz w:val="24"/>
          <w:szCs w:val="24"/>
          <w:lang w:eastAsia="en-US"/>
        </w:rPr>
      </w:pPr>
      <w:r w:rsidRPr="00477BD4">
        <w:rPr>
          <w:rFonts w:eastAsiaTheme="minorHAnsi" w:cstheme="minorBidi"/>
          <w:sz w:val="24"/>
          <w:szCs w:val="24"/>
          <w:lang w:eastAsia="en-US"/>
        </w:rPr>
        <w:tab/>
        <w:t>Na základe skúseností, sústavnej analytickej činnosti jednotlivých hlásení o</w:t>
      </w:r>
      <w:r>
        <w:rPr>
          <w:rFonts w:eastAsiaTheme="minorHAnsi" w:cstheme="minorBidi"/>
          <w:sz w:val="24"/>
          <w:szCs w:val="24"/>
          <w:lang w:eastAsia="en-US"/>
        </w:rPr>
        <w:t> </w:t>
      </w:r>
      <w:r w:rsidRPr="00477BD4">
        <w:rPr>
          <w:rFonts w:eastAsiaTheme="minorHAnsi" w:cstheme="minorBidi"/>
          <w:sz w:val="24"/>
          <w:szCs w:val="24"/>
          <w:lang w:eastAsia="en-US"/>
        </w:rPr>
        <w:t>NOO</w:t>
      </w:r>
      <w:r>
        <w:rPr>
          <w:rFonts w:eastAsiaTheme="minorHAnsi" w:cstheme="minorBidi"/>
          <w:sz w:val="24"/>
          <w:szCs w:val="24"/>
          <w:lang w:eastAsia="en-US"/>
        </w:rPr>
        <w:t>, vykonávanej kontrolnej činnosti</w:t>
      </w:r>
      <w:r w:rsidRPr="00477BD4">
        <w:rPr>
          <w:rFonts w:eastAsiaTheme="minorHAnsi" w:cstheme="minorBidi"/>
          <w:sz w:val="24"/>
          <w:szCs w:val="24"/>
          <w:lang w:eastAsia="en-US"/>
        </w:rPr>
        <w:t xml:space="preserve"> a zovšeobecnením doposiaľ nadobudnutých poznatkov a</w:t>
      </w:r>
      <w:r>
        <w:rPr>
          <w:rFonts w:eastAsiaTheme="minorHAnsi" w:cstheme="minorBidi"/>
          <w:sz w:val="24"/>
          <w:szCs w:val="24"/>
          <w:lang w:eastAsia="en-US"/>
        </w:rPr>
        <w:t> </w:t>
      </w:r>
      <w:r w:rsidRPr="00477BD4">
        <w:rPr>
          <w:rFonts w:eastAsiaTheme="minorHAnsi" w:cstheme="minorBidi"/>
          <w:sz w:val="24"/>
          <w:szCs w:val="24"/>
          <w:lang w:eastAsia="en-US"/>
        </w:rPr>
        <w:t xml:space="preserve">informácií </w:t>
      </w:r>
      <w:r>
        <w:rPr>
          <w:rFonts w:eastAsiaTheme="minorHAnsi" w:cstheme="minorBidi"/>
          <w:sz w:val="24"/>
          <w:szCs w:val="24"/>
          <w:lang w:eastAsia="en-US"/>
        </w:rPr>
        <w:t xml:space="preserve">od tuzemských, či zahraničných subjektov </w:t>
      </w:r>
      <w:r w:rsidRPr="00477BD4">
        <w:rPr>
          <w:rFonts w:eastAsiaTheme="minorHAnsi" w:cstheme="minorBidi"/>
          <w:sz w:val="24"/>
          <w:szCs w:val="24"/>
          <w:lang w:eastAsia="en-US"/>
        </w:rPr>
        <w:t>za posledné obdobie, možno do</w:t>
      </w:r>
      <w:r>
        <w:rPr>
          <w:rFonts w:eastAsiaTheme="minorHAnsi" w:cstheme="minorBidi"/>
          <w:sz w:val="24"/>
          <w:szCs w:val="24"/>
          <w:lang w:eastAsia="en-US"/>
        </w:rPr>
        <w:t> </w:t>
      </w:r>
      <w:r w:rsidRPr="00477BD4">
        <w:rPr>
          <w:rFonts w:eastAsiaTheme="minorHAnsi" w:cstheme="minorBidi"/>
          <w:sz w:val="24"/>
          <w:szCs w:val="24"/>
          <w:lang w:eastAsia="en-US"/>
        </w:rPr>
        <w:t>budúcnosti</w:t>
      </w:r>
      <w:r>
        <w:rPr>
          <w:rFonts w:eastAsiaTheme="minorHAnsi" w:cstheme="minorBidi"/>
          <w:sz w:val="24"/>
          <w:szCs w:val="24"/>
          <w:lang w:eastAsia="en-US"/>
        </w:rPr>
        <w:t xml:space="preserve"> </w:t>
      </w:r>
      <w:r w:rsidRPr="00477BD4">
        <w:rPr>
          <w:rFonts w:eastAsiaTheme="minorHAnsi" w:cstheme="minorBidi"/>
          <w:sz w:val="24"/>
          <w:szCs w:val="24"/>
          <w:lang w:eastAsia="en-US"/>
        </w:rPr>
        <w:t xml:space="preserve">predpokladať konkrétny vývoj </w:t>
      </w:r>
      <w:r>
        <w:rPr>
          <w:rFonts w:eastAsiaTheme="minorHAnsi" w:cstheme="minorBidi"/>
          <w:sz w:val="24"/>
          <w:szCs w:val="24"/>
          <w:lang w:eastAsia="en-US"/>
        </w:rPr>
        <w:t>na úseku legalizácie príjmov z trestnej činnosti a financovania terorizmu,</w:t>
      </w:r>
      <w:r w:rsidRPr="00477BD4">
        <w:rPr>
          <w:rFonts w:eastAsiaTheme="minorHAnsi" w:cstheme="minorBidi"/>
          <w:sz w:val="24"/>
          <w:szCs w:val="24"/>
          <w:lang w:eastAsia="en-US"/>
        </w:rPr>
        <w:t xml:space="preserve"> ktorý možno špecifikovať v nasledovných bodoch: </w:t>
      </w:r>
    </w:p>
    <w:p w14:paraId="07597B67" w14:textId="77777777" w:rsidR="00216BD5" w:rsidRPr="00477BD4" w:rsidRDefault="00216BD5" w:rsidP="00216BD5">
      <w:pPr>
        <w:spacing w:after="120"/>
        <w:rPr>
          <w:rFonts w:eastAsiaTheme="minorHAnsi" w:cstheme="minorBidi"/>
          <w:sz w:val="24"/>
          <w:szCs w:val="24"/>
          <w:lang w:eastAsia="en-US"/>
        </w:rPr>
      </w:pPr>
    </w:p>
    <w:p w14:paraId="0EDFC7EE" w14:textId="77777777" w:rsidR="00216BD5" w:rsidRPr="00477BD4" w:rsidRDefault="00216BD5" w:rsidP="00216BD5">
      <w:pPr>
        <w:numPr>
          <w:ilvl w:val="0"/>
          <w:numId w:val="3"/>
        </w:numPr>
        <w:spacing w:after="160" w:line="259" w:lineRule="auto"/>
        <w:ind w:left="714" w:hanging="357"/>
        <w:contextualSpacing/>
        <w:rPr>
          <w:rFonts w:eastAsiaTheme="minorHAnsi" w:cstheme="minorBidi"/>
          <w:sz w:val="24"/>
          <w:szCs w:val="24"/>
          <w:lang w:eastAsia="en-US"/>
        </w:rPr>
      </w:pPr>
      <w:r w:rsidRPr="00477BD4">
        <w:rPr>
          <w:rFonts w:eastAsiaTheme="minorHAnsi" w:cstheme="minorBidi"/>
          <w:sz w:val="24"/>
          <w:szCs w:val="24"/>
          <w:lang w:eastAsia="en-US"/>
        </w:rPr>
        <w:t xml:space="preserve">Nárast NOO realizovaných v prospech spoločností so sídlom v daňových rajoch, alebo spoločností s registráciou v krajinách </w:t>
      </w:r>
      <w:r>
        <w:rPr>
          <w:rFonts w:eastAsiaTheme="minorHAnsi" w:cstheme="minorBidi"/>
          <w:sz w:val="24"/>
          <w:szCs w:val="24"/>
          <w:lang w:eastAsia="en-US"/>
        </w:rPr>
        <w:t>Európskej únie,</w:t>
      </w:r>
      <w:r w:rsidRPr="00477BD4">
        <w:rPr>
          <w:rFonts w:eastAsiaTheme="minorHAnsi" w:cstheme="minorBidi"/>
          <w:sz w:val="24"/>
          <w:szCs w:val="24"/>
          <w:lang w:eastAsia="en-US"/>
        </w:rPr>
        <w:t xml:space="preserve"> ale s majetkovým prepojením na</w:t>
      </w:r>
      <w:r>
        <w:rPr>
          <w:rFonts w:eastAsiaTheme="minorHAnsi" w:cstheme="minorBidi"/>
          <w:sz w:val="24"/>
          <w:szCs w:val="24"/>
          <w:lang w:eastAsia="en-US"/>
        </w:rPr>
        <w:t> </w:t>
      </w:r>
      <w:r w:rsidRPr="00477BD4">
        <w:rPr>
          <w:rFonts w:eastAsiaTheme="minorHAnsi" w:cstheme="minorBidi"/>
          <w:sz w:val="24"/>
          <w:szCs w:val="24"/>
          <w:lang w:eastAsia="en-US"/>
        </w:rPr>
        <w:t>off shore spoločnosti a NOO poukazujúcich na porušenie daňových predpisov pri</w:t>
      </w:r>
      <w:r>
        <w:rPr>
          <w:rFonts w:eastAsiaTheme="minorHAnsi" w:cstheme="minorBidi"/>
          <w:sz w:val="24"/>
          <w:szCs w:val="24"/>
          <w:lang w:eastAsia="en-US"/>
        </w:rPr>
        <w:t> </w:t>
      </w:r>
      <w:r w:rsidRPr="00477BD4">
        <w:rPr>
          <w:rFonts w:eastAsiaTheme="minorHAnsi" w:cstheme="minorBidi"/>
          <w:sz w:val="24"/>
          <w:szCs w:val="24"/>
          <w:lang w:eastAsia="en-US"/>
        </w:rPr>
        <w:t>neoprávnenom uplatnení a čerpaní nadmerného odpočtu DPH a účelovom znižovaní daňového základu,</w:t>
      </w:r>
    </w:p>
    <w:p w14:paraId="3A05C110" w14:textId="77777777" w:rsidR="00216BD5" w:rsidRPr="00477BD4" w:rsidRDefault="00216BD5" w:rsidP="00216BD5">
      <w:pPr>
        <w:ind w:left="714"/>
        <w:contextualSpacing/>
        <w:rPr>
          <w:rFonts w:eastAsiaTheme="minorHAnsi" w:cstheme="minorBidi"/>
          <w:sz w:val="24"/>
          <w:szCs w:val="24"/>
          <w:lang w:eastAsia="en-US"/>
        </w:rPr>
      </w:pPr>
    </w:p>
    <w:p w14:paraId="09CC6738" w14:textId="77777777" w:rsidR="00216BD5" w:rsidRPr="00477BD4" w:rsidRDefault="00216BD5" w:rsidP="00216BD5">
      <w:pPr>
        <w:numPr>
          <w:ilvl w:val="0"/>
          <w:numId w:val="3"/>
        </w:numPr>
        <w:spacing w:after="120" w:line="259" w:lineRule="auto"/>
        <w:ind w:left="714" w:hanging="357"/>
        <w:contextualSpacing/>
        <w:rPr>
          <w:rFonts w:eastAsiaTheme="minorHAnsi" w:cstheme="minorBidi"/>
          <w:sz w:val="24"/>
          <w:szCs w:val="24"/>
          <w:lang w:eastAsia="en-US"/>
        </w:rPr>
      </w:pPr>
      <w:r w:rsidRPr="00477BD4">
        <w:rPr>
          <w:rFonts w:eastAsiaTheme="minorHAnsi" w:cstheme="minorBidi"/>
          <w:sz w:val="24"/>
          <w:szCs w:val="24"/>
          <w:lang w:eastAsia="en-US"/>
        </w:rPr>
        <w:t xml:space="preserve">Nakoľko virtuálna mena Bitcoin nie je národnou menou v krajinách </w:t>
      </w:r>
      <w:r>
        <w:rPr>
          <w:rFonts w:eastAsiaTheme="minorHAnsi" w:cstheme="minorBidi"/>
          <w:sz w:val="24"/>
          <w:szCs w:val="24"/>
          <w:lang w:eastAsia="en-US"/>
        </w:rPr>
        <w:t>Európskej únie</w:t>
      </w:r>
      <w:r w:rsidRPr="00477BD4">
        <w:rPr>
          <w:rFonts w:eastAsiaTheme="minorHAnsi" w:cstheme="minorBidi"/>
          <w:sz w:val="24"/>
          <w:szCs w:val="24"/>
          <w:lang w:eastAsia="en-US"/>
        </w:rPr>
        <w:t xml:space="preserve"> ani v iných krajinách a nespadá pod národné regulácie, resp. ani európska, ani slovenská legislatíva neupravuje a nevymedzuje činnosti súvisiace s používaním virtuálnej meny a táto mena, ako aj obchody realizované touto menou nie sú pod dohľadom a reguláciou NBS je možné v roku 2015 predpokladať nárast </w:t>
      </w:r>
      <w:r>
        <w:rPr>
          <w:rFonts w:eastAsiaTheme="minorHAnsi" w:cstheme="minorBidi"/>
          <w:sz w:val="24"/>
          <w:szCs w:val="24"/>
          <w:lang w:eastAsia="en-US"/>
        </w:rPr>
        <w:t>NOO</w:t>
      </w:r>
      <w:r w:rsidRPr="00477BD4">
        <w:rPr>
          <w:rFonts w:eastAsiaTheme="minorHAnsi" w:cstheme="minorBidi"/>
          <w:sz w:val="24"/>
          <w:szCs w:val="24"/>
          <w:lang w:eastAsia="en-US"/>
        </w:rPr>
        <w:t xml:space="preserve"> v súvislosti s danou problematikou, nakoľko pri obchodoch s touto menou nie je možné hodnoverne preveriť pôvod týchto finančných prostriedkov, čo v konečnom dôsledku zvyšuje jej možné zneužitie na legalizáciu príjmov z trestnej činnosti,</w:t>
      </w:r>
    </w:p>
    <w:p w14:paraId="01A0921C" w14:textId="77777777" w:rsidR="00216BD5" w:rsidRPr="00477BD4" w:rsidRDefault="00216BD5" w:rsidP="00216BD5">
      <w:pPr>
        <w:spacing w:after="120"/>
        <w:ind w:left="714"/>
        <w:contextualSpacing/>
        <w:rPr>
          <w:rFonts w:eastAsiaTheme="minorHAnsi" w:cstheme="minorBidi"/>
          <w:sz w:val="24"/>
          <w:szCs w:val="24"/>
          <w:lang w:eastAsia="en-US"/>
        </w:rPr>
      </w:pPr>
    </w:p>
    <w:p w14:paraId="0811E995" w14:textId="77777777" w:rsidR="00216BD5" w:rsidRPr="00477BD4" w:rsidRDefault="00216BD5" w:rsidP="00216BD5">
      <w:pPr>
        <w:numPr>
          <w:ilvl w:val="0"/>
          <w:numId w:val="3"/>
        </w:numPr>
        <w:spacing w:after="120" w:line="259" w:lineRule="auto"/>
        <w:ind w:left="714" w:hanging="357"/>
        <w:contextualSpacing/>
        <w:rPr>
          <w:rFonts w:eastAsiaTheme="minorHAnsi" w:cstheme="minorBidi"/>
          <w:sz w:val="24"/>
          <w:szCs w:val="24"/>
          <w:lang w:eastAsia="en-US"/>
        </w:rPr>
      </w:pPr>
      <w:r w:rsidRPr="00477BD4">
        <w:rPr>
          <w:rFonts w:eastAsiaTheme="minorHAnsi" w:cstheme="minorBidi"/>
          <w:sz w:val="24"/>
          <w:szCs w:val="24"/>
          <w:lang w:eastAsia="en-US"/>
        </w:rPr>
        <w:lastRenderedPageBreak/>
        <w:t>Vyššia organizovanosť a flexibilita páchateľov na medzinárodnej úrovni pri umiestňovaní „špinavých“ peňazí pochádzajúcich hlavne z internetového podvodu a phishingu, pričom v prípadoch organizovaných skupín ide často o národnostné komunity, s reálnym predpokladom vzájomnej kooperácie viacerých takýchto skupín,</w:t>
      </w:r>
    </w:p>
    <w:p w14:paraId="323AAF74" w14:textId="77777777" w:rsidR="00216BD5" w:rsidRPr="00477BD4" w:rsidRDefault="00216BD5" w:rsidP="00216BD5">
      <w:pPr>
        <w:spacing w:after="120"/>
        <w:ind w:left="714"/>
        <w:contextualSpacing/>
        <w:rPr>
          <w:rFonts w:eastAsiaTheme="minorHAnsi" w:cstheme="minorBidi"/>
          <w:sz w:val="24"/>
          <w:szCs w:val="24"/>
          <w:lang w:eastAsia="en-US"/>
        </w:rPr>
      </w:pPr>
    </w:p>
    <w:p w14:paraId="1069CE92" w14:textId="77777777" w:rsidR="00216BD5" w:rsidRPr="00477BD4" w:rsidRDefault="00216BD5" w:rsidP="00216BD5">
      <w:pPr>
        <w:numPr>
          <w:ilvl w:val="0"/>
          <w:numId w:val="3"/>
        </w:numPr>
        <w:spacing w:after="120" w:line="259" w:lineRule="auto"/>
        <w:ind w:left="714" w:hanging="357"/>
        <w:contextualSpacing/>
        <w:rPr>
          <w:rFonts w:eastAsiaTheme="minorHAnsi" w:cstheme="minorBidi"/>
          <w:sz w:val="24"/>
          <w:szCs w:val="24"/>
          <w:lang w:eastAsia="en-US"/>
        </w:rPr>
      </w:pPr>
      <w:r w:rsidRPr="00477BD4">
        <w:rPr>
          <w:rFonts w:eastAsiaTheme="minorHAnsi" w:cstheme="minorBidi"/>
          <w:sz w:val="24"/>
          <w:szCs w:val="24"/>
          <w:lang w:eastAsia="en-US"/>
        </w:rPr>
        <w:t>Vo väčšej miere využívanie a zapájanie do procesu legalizácie najmä účtovníkov, daňových poradcov, notárov, advokátov, audítorov, realitných maklérov,</w:t>
      </w:r>
    </w:p>
    <w:p w14:paraId="46267591" w14:textId="77777777" w:rsidR="00216BD5" w:rsidRPr="00477BD4" w:rsidRDefault="00216BD5" w:rsidP="00216BD5">
      <w:pPr>
        <w:spacing w:after="120"/>
        <w:ind w:left="714"/>
        <w:contextualSpacing/>
        <w:rPr>
          <w:rFonts w:eastAsiaTheme="minorHAnsi" w:cstheme="minorBidi"/>
          <w:sz w:val="24"/>
          <w:szCs w:val="24"/>
          <w:lang w:eastAsia="en-US"/>
        </w:rPr>
      </w:pPr>
    </w:p>
    <w:p w14:paraId="4C79188D" w14:textId="77777777" w:rsidR="00216BD5" w:rsidRPr="00477BD4" w:rsidRDefault="00216BD5" w:rsidP="00216BD5">
      <w:pPr>
        <w:numPr>
          <w:ilvl w:val="0"/>
          <w:numId w:val="3"/>
        </w:numPr>
        <w:spacing w:after="120" w:line="259" w:lineRule="auto"/>
        <w:ind w:left="714" w:hanging="357"/>
        <w:contextualSpacing/>
        <w:rPr>
          <w:rFonts w:eastAsiaTheme="minorHAnsi" w:cstheme="minorBidi"/>
          <w:sz w:val="24"/>
          <w:szCs w:val="24"/>
          <w:lang w:eastAsia="en-US"/>
        </w:rPr>
      </w:pPr>
      <w:r w:rsidRPr="00477BD4">
        <w:rPr>
          <w:rFonts w:eastAsiaTheme="minorHAnsi" w:cstheme="minorBidi"/>
          <w:sz w:val="24"/>
          <w:szCs w:val="24"/>
          <w:lang w:eastAsia="en-US"/>
        </w:rPr>
        <w:t>Účelové uzatváranie životného poistenia a iných sporiacich produktov mimo bánk a umiestňovanie finančných prostriedkov – príjmov z trestnej činnosti do týchto produktov.</w:t>
      </w:r>
    </w:p>
    <w:p w14:paraId="5CAFA56C" w14:textId="77777777" w:rsidR="00216BD5" w:rsidRDefault="00216BD5" w:rsidP="00216BD5">
      <w:pPr>
        <w:rPr>
          <w:rFonts w:eastAsiaTheme="minorHAnsi" w:cstheme="minorBidi"/>
          <w:sz w:val="24"/>
          <w:szCs w:val="24"/>
          <w:lang w:eastAsia="en-US"/>
        </w:rPr>
      </w:pPr>
    </w:p>
    <w:p w14:paraId="596A1605" w14:textId="77777777" w:rsidR="00216BD5" w:rsidRPr="00F02CDA" w:rsidRDefault="00216BD5" w:rsidP="00216BD5">
      <w:pPr>
        <w:rPr>
          <w:rFonts w:eastAsiaTheme="minorHAnsi" w:cstheme="minorBidi"/>
          <w:sz w:val="24"/>
          <w:szCs w:val="24"/>
          <w:lang w:eastAsia="en-US"/>
        </w:rPr>
      </w:pPr>
    </w:p>
    <w:p w14:paraId="55DBAC56" w14:textId="77777777" w:rsidR="00216BD5" w:rsidRDefault="00216BD5" w:rsidP="00216BD5">
      <w:pPr>
        <w:pStyle w:val="Nzovkapitoly"/>
        <w:rPr>
          <w:bCs/>
          <w:sz w:val="24"/>
          <w:szCs w:val="24"/>
        </w:rPr>
      </w:pPr>
      <w:bookmarkStart w:id="28" w:name="_Toc412466398"/>
      <w:r>
        <w:t>8. Zhodnotenie spolupráce s partnerskými subjektmi</w:t>
      </w:r>
      <w:bookmarkEnd w:id="28"/>
    </w:p>
    <w:p w14:paraId="676F3602" w14:textId="77777777" w:rsidR="00216BD5" w:rsidRDefault="00216BD5" w:rsidP="00216BD5">
      <w:pPr>
        <w:spacing w:after="120"/>
        <w:jc w:val="center"/>
        <w:rPr>
          <w:bCs/>
          <w:sz w:val="24"/>
          <w:szCs w:val="24"/>
        </w:rPr>
      </w:pPr>
    </w:p>
    <w:p w14:paraId="3077D19B" w14:textId="77777777" w:rsidR="00216BD5" w:rsidRDefault="00216BD5" w:rsidP="00216BD5">
      <w:pPr>
        <w:spacing w:after="120"/>
        <w:rPr>
          <w:rFonts w:eastAsiaTheme="minorHAnsi" w:cstheme="minorBidi"/>
          <w:sz w:val="24"/>
          <w:szCs w:val="24"/>
          <w:lang w:eastAsia="en-US"/>
        </w:rPr>
      </w:pPr>
      <w:r>
        <w:rPr>
          <w:sz w:val="24"/>
          <w:szCs w:val="24"/>
        </w:rPr>
        <w:tab/>
        <w:t xml:space="preserve">Určitý podiel na činnosti jednotlivých oddelení FSJ na národnej, ako aj medzinárodnej úrovni má bezpochyby aj súčinnosť a spolupráca s našimi zahraničnými a tuzemskými partnermi, medzi ktorých patria aj ostatné zložky polície, prokuratúra, štátna a verejná správa či zástupcovia povinných osôb, predovšetkým bánk. V rámci tejto spolupráce bolo v priebehu roka 2014 uskutočnených niekoľko stretnutí na národnej, či medzinárodnej úrovni. </w:t>
      </w:r>
    </w:p>
    <w:p w14:paraId="7FB0E9D7"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t xml:space="preserve">Za účelom odstránenia aplikačných problémov sa zástupcovia FSJ zúčastnili dňa 4. novembra 2014 na pracovnej porade prokurátorov krajských a okresných prokuratúr špecializovaných na vybavovanie vecí v netrestnej oblasti, ktorá mala charakter informatívneho stretnutia a ktorá vytvorila priestor pre jednotenie názorových rozdielov s možnosťou uplatnenia priamej konfrontácie na ďalšom dvojdňovom zasadnutí, predbežne plánovanom na koniec mája roku 2015. </w:t>
      </w:r>
    </w:p>
    <w:p w14:paraId="4107E8B2"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t>Za účelom eliminácie legalizácie príjmov z trestnej činnosti a financovania terorizmu a s cieľom zjednodušenia, uľahčenia a zrýchlenia spôsobu komunikácie medzi FSJ a jednotlivými bankami a odbúrania administratívy súvisiacej s manuálnym vkladaním písomností a hlásení o NOO do informačného systému FSJ, po niekoľkých rokovaniach FSJ pripravila návrh dohody o vzájomnom spôsobe doručovania písomností zasielaných elektronickou formou prostredníctvom elektronickej podateľne FSJ medzi MV SR a jednotlivými bankami (ďalej len „Dohoda“). Ukončením schvaľovacieho procesu sa vytvoril právny rámec pre jej realizáciu. V druhej polovici roku 2014 sa odstraňovali prípadne vzniknuté drobné technické nedostatky sťažujúce prípadne dočasne znemožňujúce komunikáciu medzi stranami dohody.</w:t>
      </w:r>
    </w:p>
    <w:p w14:paraId="6776DDC9"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t>V rámci presadzovania jednotlivých odporúčaní a zámerov v boji proti legalizácii príjmov z trestnej činnosti a financovaniu terorizmu má veľký prínos aj činnosť Medzirezortného expertného koordinačného orgánu pre boj so zločinnosťou (ďalej len „MEKO“), ktorý má postavenie kontaktného pracoviska pre spoluprácu so zahraničím. Ako koordinačný orgán na základe vlastných potrieb, z iniciatívy ministerstiev a ostatných ústredných orgánov štátnej správy, požiadaviek a podnetov mimovládnych a medzinárodných orgánov a organizácií, za účelom dlhodobého sledovania a riešenia rámcových problematík v oblasti boja so zločinnosťou zriaďuje multidisciplinárne integrované skupiny odborníkov.</w:t>
      </w:r>
    </w:p>
    <w:p w14:paraId="56276227"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 xml:space="preserve"> </w:t>
      </w:r>
      <w:r>
        <w:rPr>
          <w:rFonts w:eastAsiaTheme="minorHAnsi" w:cstheme="minorBidi"/>
          <w:sz w:val="24"/>
          <w:szCs w:val="24"/>
          <w:lang w:eastAsia="en-US"/>
        </w:rPr>
        <w:tab/>
        <w:t xml:space="preserve">Jednou z takýchto multidisciplinárnych integrovaných skupín odborníkov (ďalej len „MISO“) je skupina zameraná na elimináciu legalizácie príjmov z trestnej činnosti a financovania terorizmu (ďalej len „MISO LP“), ktorej predsedá riaditeľ FSJ. Členmi tejto </w:t>
      </w:r>
      <w:r>
        <w:rPr>
          <w:rFonts w:eastAsiaTheme="minorHAnsi" w:cstheme="minorBidi"/>
          <w:sz w:val="24"/>
          <w:szCs w:val="24"/>
          <w:lang w:eastAsia="en-US"/>
        </w:rPr>
        <w:lastRenderedPageBreak/>
        <w:t xml:space="preserve">skupiny sú zástupcovia NBS, MF SR, Finančného riaditeľstva SR, Generálnej prokuratúry SR, Ministerstva spravodlivosti SR, odboru boja proti terorizmu Prezídia PZ, národnej protidrogovej jednotky NAKA PPZ, úradu kriminálnej polície Prezídia PZ a Slovenskej informačnej služby. </w:t>
      </w:r>
    </w:p>
    <w:p w14:paraId="3FED4EDB"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t>V roku 2014 sa konali celkovo 2 zasadnutia MISO LP. Ústrednou témou oboch zasadnutí bolo riešenie problematiky národného hodnotenia rizika (National risk assesment – ďalej len „NHR“), realizácia ktorého vyplynula z nadchádzajúceho 5. kola hodnotiacich návštev MONEYVAL. NHR je jednou z obligatórnych podmienok uskutočnenia 5. kola hodnotenia príslušnej krajiny v</w:t>
      </w:r>
      <w:r>
        <w:rPr>
          <w:sz w:val="24"/>
          <w:szCs w:val="24"/>
        </w:rPr>
        <w:t>ýborom expertov Rady Európy pre hodnotenie opatrení proti praniu špinavých peňazí  a financovaniu terorizmu MONEYVAL</w:t>
      </w:r>
      <w:r>
        <w:rPr>
          <w:rFonts w:eastAsiaTheme="minorHAnsi" w:cstheme="minorBidi"/>
          <w:sz w:val="24"/>
          <w:szCs w:val="24"/>
          <w:lang w:eastAsia="en-US"/>
        </w:rPr>
        <w:t>. Jedným zo základných atribútov, ktoré boli riešené v súvislosti s NHR bol najmä spôsob jeho financovania.</w:t>
      </w:r>
    </w:p>
    <w:p w14:paraId="0DF6F57D" w14:textId="77777777" w:rsidR="00216BD5" w:rsidRDefault="00216BD5" w:rsidP="00216BD5">
      <w:pPr>
        <w:spacing w:after="120"/>
        <w:rPr>
          <w:rFonts w:eastAsiaTheme="minorHAnsi" w:cstheme="minorBidi"/>
          <w:sz w:val="24"/>
          <w:szCs w:val="24"/>
          <w:lang w:eastAsia="en-US"/>
        </w:rPr>
      </w:pPr>
      <w:r>
        <w:rPr>
          <w:rFonts w:eastAsiaTheme="minorHAnsi" w:cstheme="minorBidi"/>
          <w:sz w:val="24"/>
          <w:szCs w:val="24"/>
          <w:lang w:eastAsia="en-US"/>
        </w:rPr>
        <w:tab/>
        <w:t xml:space="preserve">Taktiež boli na zasadnutí MISO LP prerokované a následne rozdelené úlohy medzi jednotlivé rezorty v súvislosti s predložením 2. následnej správy v rámci 4. kola hodnotiacich návštev realizovaných výborom expertov Rady Európy pre hodnotenie opatrení proti praniu špinavých peňazí a financovaniu terorizmu MONEYVAL. </w:t>
      </w:r>
    </w:p>
    <w:p w14:paraId="56346C4A" w14:textId="77777777" w:rsidR="00216BD5" w:rsidRDefault="00216BD5" w:rsidP="00216BD5">
      <w:pPr>
        <w:spacing w:after="120"/>
        <w:rPr>
          <w:rFonts w:eastAsiaTheme="minorHAnsi" w:cstheme="minorBidi"/>
          <w:sz w:val="24"/>
          <w:szCs w:val="24"/>
          <w:lang w:eastAsia="en-US"/>
        </w:rPr>
      </w:pPr>
    </w:p>
    <w:p w14:paraId="342B2F58" w14:textId="77777777" w:rsidR="00216BD5" w:rsidRDefault="00216BD5" w:rsidP="00216BD5">
      <w:pPr>
        <w:spacing w:after="120"/>
        <w:rPr>
          <w:rFonts w:eastAsiaTheme="minorHAnsi" w:cstheme="minorBidi"/>
          <w:sz w:val="24"/>
          <w:szCs w:val="24"/>
          <w:lang w:eastAsia="en-US"/>
        </w:rPr>
      </w:pPr>
    </w:p>
    <w:p w14:paraId="77C42259" w14:textId="77777777" w:rsidR="00216BD5" w:rsidRDefault="00216BD5" w:rsidP="00216BD5">
      <w:pPr>
        <w:spacing w:after="120"/>
        <w:rPr>
          <w:rFonts w:eastAsiaTheme="minorHAnsi" w:cstheme="minorBidi"/>
          <w:sz w:val="24"/>
          <w:szCs w:val="24"/>
          <w:lang w:eastAsia="en-US"/>
        </w:rPr>
      </w:pPr>
    </w:p>
    <w:p w14:paraId="3A66B94D" w14:textId="77777777" w:rsidR="00216BD5" w:rsidRDefault="00216BD5" w:rsidP="00216BD5">
      <w:pPr>
        <w:spacing w:after="120"/>
        <w:rPr>
          <w:rFonts w:eastAsiaTheme="minorHAnsi" w:cstheme="minorBidi"/>
          <w:sz w:val="24"/>
          <w:szCs w:val="24"/>
          <w:lang w:eastAsia="en-US"/>
        </w:rPr>
      </w:pPr>
    </w:p>
    <w:p w14:paraId="11DF9A50" w14:textId="77777777" w:rsidR="00216BD5" w:rsidRDefault="00216BD5" w:rsidP="00216BD5">
      <w:pPr>
        <w:spacing w:after="120"/>
        <w:rPr>
          <w:rFonts w:eastAsiaTheme="minorHAnsi" w:cstheme="minorBidi"/>
          <w:sz w:val="24"/>
          <w:szCs w:val="24"/>
          <w:lang w:eastAsia="en-US"/>
        </w:rPr>
      </w:pPr>
    </w:p>
    <w:p w14:paraId="4A2FB2A6" w14:textId="77777777" w:rsidR="00216BD5" w:rsidRDefault="00216BD5" w:rsidP="00216BD5">
      <w:pPr>
        <w:spacing w:after="120"/>
        <w:rPr>
          <w:rFonts w:eastAsiaTheme="minorHAnsi" w:cstheme="minorBidi"/>
          <w:sz w:val="24"/>
          <w:szCs w:val="24"/>
          <w:lang w:eastAsia="en-US"/>
        </w:rPr>
      </w:pPr>
    </w:p>
    <w:p w14:paraId="22E55E00" w14:textId="77777777" w:rsidR="00216BD5" w:rsidRDefault="00216BD5" w:rsidP="00216BD5">
      <w:pPr>
        <w:spacing w:after="120"/>
        <w:rPr>
          <w:rFonts w:eastAsiaTheme="minorHAnsi" w:cstheme="minorBidi"/>
          <w:sz w:val="24"/>
          <w:szCs w:val="24"/>
          <w:lang w:eastAsia="en-US"/>
        </w:rPr>
      </w:pPr>
    </w:p>
    <w:p w14:paraId="5453FBB8" w14:textId="77777777" w:rsidR="00216BD5" w:rsidRDefault="00216BD5" w:rsidP="00216BD5">
      <w:pPr>
        <w:spacing w:after="120"/>
        <w:rPr>
          <w:rFonts w:eastAsiaTheme="minorHAnsi" w:cstheme="minorBidi"/>
          <w:sz w:val="24"/>
          <w:szCs w:val="24"/>
          <w:lang w:eastAsia="en-US"/>
        </w:rPr>
      </w:pPr>
    </w:p>
    <w:p w14:paraId="34EC93E4" w14:textId="77777777" w:rsidR="00216BD5" w:rsidRDefault="00216BD5" w:rsidP="00216BD5">
      <w:pPr>
        <w:spacing w:after="120"/>
        <w:rPr>
          <w:rFonts w:eastAsiaTheme="minorHAnsi" w:cstheme="minorBidi"/>
          <w:sz w:val="24"/>
          <w:szCs w:val="24"/>
          <w:lang w:eastAsia="en-US"/>
        </w:rPr>
      </w:pPr>
    </w:p>
    <w:p w14:paraId="72F267B1" w14:textId="77777777" w:rsidR="00216BD5" w:rsidRDefault="00216BD5" w:rsidP="00216BD5">
      <w:pPr>
        <w:spacing w:after="120"/>
        <w:rPr>
          <w:rFonts w:eastAsiaTheme="minorHAnsi" w:cstheme="minorBidi"/>
          <w:sz w:val="24"/>
          <w:szCs w:val="24"/>
          <w:lang w:eastAsia="en-US"/>
        </w:rPr>
      </w:pPr>
    </w:p>
    <w:p w14:paraId="5880F7A5" w14:textId="77777777" w:rsidR="00216BD5" w:rsidRDefault="00216BD5" w:rsidP="00216BD5">
      <w:pPr>
        <w:spacing w:after="120"/>
        <w:rPr>
          <w:rFonts w:eastAsiaTheme="minorHAnsi" w:cstheme="minorBidi"/>
          <w:sz w:val="24"/>
          <w:szCs w:val="24"/>
          <w:lang w:eastAsia="en-US"/>
        </w:rPr>
      </w:pPr>
    </w:p>
    <w:p w14:paraId="66A96901" w14:textId="77777777" w:rsidR="00216BD5" w:rsidRDefault="00216BD5" w:rsidP="00216BD5">
      <w:pPr>
        <w:spacing w:after="120"/>
        <w:rPr>
          <w:rFonts w:eastAsiaTheme="minorHAnsi" w:cstheme="minorBidi"/>
          <w:sz w:val="24"/>
          <w:szCs w:val="24"/>
          <w:lang w:eastAsia="en-US"/>
        </w:rPr>
      </w:pPr>
    </w:p>
    <w:p w14:paraId="0C2E3311" w14:textId="77777777" w:rsidR="00216BD5" w:rsidRDefault="00216BD5" w:rsidP="00216BD5">
      <w:pPr>
        <w:spacing w:after="120"/>
        <w:rPr>
          <w:rFonts w:eastAsiaTheme="minorHAnsi" w:cstheme="minorBidi"/>
          <w:sz w:val="24"/>
          <w:szCs w:val="24"/>
          <w:lang w:eastAsia="en-US"/>
        </w:rPr>
      </w:pPr>
    </w:p>
    <w:p w14:paraId="6369D5A3" w14:textId="77777777" w:rsidR="00216BD5" w:rsidRDefault="00216BD5" w:rsidP="00216BD5">
      <w:pPr>
        <w:spacing w:after="120"/>
        <w:rPr>
          <w:rFonts w:eastAsiaTheme="minorHAnsi" w:cstheme="minorBidi"/>
          <w:sz w:val="24"/>
          <w:szCs w:val="24"/>
          <w:lang w:eastAsia="en-US"/>
        </w:rPr>
      </w:pPr>
    </w:p>
    <w:p w14:paraId="6E35AC79" w14:textId="77777777" w:rsidR="00216BD5" w:rsidRDefault="00216BD5" w:rsidP="00216BD5">
      <w:pPr>
        <w:spacing w:after="120"/>
        <w:rPr>
          <w:rFonts w:eastAsiaTheme="minorHAnsi" w:cstheme="minorBidi"/>
          <w:sz w:val="24"/>
          <w:szCs w:val="24"/>
          <w:lang w:eastAsia="en-US"/>
        </w:rPr>
      </w:pPr>
    </w:p>
    <w:p w14:paraId="1C268B21" w14:textId="77777777" w:rsidR="00216BD5" w:rsidRDefault="00216BD5" w:rsidP="00216BD5">
      <w:pPr>
        <w:spacing w:after="120"/>
        <w:rPr>
          <w:rFonts w:eastAsiaTheme="minorHAnsi" w:cstheme="minorBidi"/>
          <w:sz w:val="24"/>
          <w:szCs w:val="24"/>
          <w:lang w:eastAsia="en-US"/>
        </w:rPr>
      </w:pPr>
    </w:p>
    <w:p w14:paraId="0DB43D7E" w14:textId="77777777" w:rsidR="00216BD5" w:rsidRDefault="00216BD5" w:rsidP="00216BD5">
      <w:pPr>
        <w:spacing w:after="120"/>
        <w:rPr>
          <w:rFonts w:eastAsiaTheme="minorHAnsi" w:cstheme="minorBidi"/>
          <w:sz w:val="24"/>
          <w:szCs w:val="24"/>
          <w:lang w:eastAsia="en-US"/>
        </w:rPr>
      </w:pPr>
    </w:p>
    <w:p w14:paraId="56A7CFB5" w14:textId="77777777" w:rsidR="00216BD5" w:rsidRDefault="00216BD5" w:rsidP="00216BD5">
      <w:pPr>
        <w:spacing w:after="120"/>
        <w:rPr>
          <w:rFonts w:eastAsiaTheme="minorHAnsi" w:cstheme="minorBidi"/>
          <w:sz w:val="24"/>
          <w:szCs w:val="24"/>
          <w:lang w:eastAsia="en-US"/>
        </w:rPr>
      </w:pPr>
    </w:p>
    <w:p w14:paraId="7ED830C9" w14:textId="77777777" w:rsidR="00216BD5" w:rsidRDefault="00216BD5" w:rsidP="00216BD5">
      <w:pPr>
        <w:spacing w:after="120"/>
        <w:rPr>
          <w:rFonts w:eastAsiaTheme="minorHAnsi" w:cstheme="minorBidi"/>
          <w:sz w:val="24"/>
          <w:szCs w:val="24"/>
          <w:lang w:eastAsia="en-US"/>
        </w:rPr>
      </w:pPr>
    </w:p>
    <w:p w14:paraId="46D48DA6" w14:textId="77777777" w:rsidR="00216BD5" w:rsidRDefault="00216BD5" w:rsidP="00216BD5">
      <w:pPr>
        <w:spacing w:after="120"/>
        <w:rPr>
          <w:rFonts w:eastAsiaTheme="minorHAnsi" w:cstheme="minorBidi"/>
          <w:sz w:val="24"/>
          <w:szCs w:val="24"/>
          <w:lang w:eastAsia="en-US"/>
        </w:rPr>
      </w:pPr>
    </w:p>
    <w:p w14:paraId="634AF218" w14:textId="77777777" w:rsidR="00216BD5" w:rsidRDefault="00216BD5" w:rsidP="00216BD5">
      <w:pPr>
        <w:spacing w:after="120"/>
        <w:rPr>
          <w:rFonts w:eastAsiaTheme="minorHAnsi" w:cstheme="minorBidi"/>
          <w:sz w:val="24"/>
          <w:szCs w:val="24"/>
          <w:lang w:eastAsia="en-US"/>
        </w:rPr>
      </w:pPr>
    </w:p>
    <w:p w14:paraId="4D3665EC" w14:textId="77777777" w:rsidR="00216BD5" w:rsidRDefault="00216BD5" w:rsidP="00216BD5">
      <w:pPr>
        <w:spacing w:after="120"/>
        <w:rPr>
          <w:rFonts w:eastAsiaTheme="minorHAnsi" w:cstheme="minorBidi"/>
          <w:sz w:val="24"/>
          <w:szCs w:val="24"/>
          <w:lang w:eastAsia="en-US"/>
        </w:rPr>
      </w:pPr>
    </w:p>
    <w:p w14:paraId="3AF0FB75" w14:textId="77777777" w:rsidR="00216BD5" w:rsidRDefault="00216BD5" w:rsidP="00216BD5">
      <w:pPr>
        <w:spacing w:after="120"/>
        <w:rPr>
          <w:rFonts w:eastAsiaTheme="minorHAnsi" w:cstheme="minorBidi"/>
          <w:sz w:val="24"/>
          <w:szCs w:val="24"/>
          <w:lang w:eastAsia="en-US"/>
        </w:rPr>
      </w:pPr>
    </w:p>
    <w:p w14:paraId="49EB807C" w14:textId="77777777" w:rsidR="00216BD5" w:rsidRDefault="00216BD5" w:rsidP="00216BD5">
      <w:pPr>
        <w:spacing w:after="120"/>
        <w:rPr>
          <w:rFonts w:eastAsiaTheme="minorHAnsi" w:cstheme="minorBidi"/>
          <w:sz w:val="24"/>
          <w:szCs w:val="24"/>
          <w:lang w:eastAsia="en-US"/>
        </w:rPr>
      </w:pPr>
    </w:p>
    <w:p w14:paraId="6AACEBBD" w14:textId="77777777" w:rsidR="00216BD5" w:rsidRPr="001716D3" w:rsidRDefault="00216BD5" w:rsidP="00216BD5">
      <w:pPr>
        <w:pStyle w:val="Nzovkapitoly"/>
        <w:rPr>
          <w:lang w:eastAsia="en-US"/>
        </w:rPr>
      </w:pPr>
      <w:bookmarkStart w:id="29" w:name="_Toc382129845"/>
      <w:bookmarkStart w:id="30" w:name="_Toc382130007"/>
      <w:bookmarkStart w:id="31" w:name="_Toc382130538"/>
      <w:bookmarkStart w:id="32" w:name="_Toc382141497"/>
      <w:bookmarkStart w:id="33" w:name="_Toc382141694"/>
      <w:bookmarkStart w:id="34" w:name="_Toc412466399"/>
      <w:r w:rsidRPr="001716D3">
        <w:rPr>
          <w:lang w:eastAsia="en-US"/>
        </w:rPr>
        <w:lastRenderedPageBreak/>
        <w:t>KONTAKTNÉ ÚDAJE</w:t>
      </w:r>
      <w:bookmarkEnd w:id="29"/>
      <w:bookmarkEnd w:id="30"/>
      <w:bookmarkEnd w:id="31"/>
      <w:bookmarkEnd w:id="32"/>
      <w:bookmarkEnd w:id="33"/>
      <w:bookmarkEnd w:id="34"/>
    </w:p>
    <w:p w14:paraId="06DC9192" w14:textId="77777777" w:rsidR="00216BD5" w:rsidRDefault="00216BD5" w:rsidP="00216BD5">
      <w:pPr>
        <w:spacing w:after="120" w:line="276" w:lineRule="auto"/>
        <w:rPr>
          <w:rFonts w:eastAsia="Calibri"/>
          <w:b/>
          <w:bCs/>
          <w:sz w:val="24"/>
          <w:szCs w:val="24"/>
          <w:lang w:eastAsia="en-US"/>
        </w:rPr>
      </w:pPr>
    </w:p>
    <w:p w14:paraId="56C954B2" w14:textId="77777777" w:rsidR="00216BD5" w:rsidRDefault="00216BD5" w:rsidP="00216BD5">
      <w:pPr>
        <w:spacing w:after="120" w:line="276" w:lineRule="auto"/>
        <w:rPr>
          <w:rFonts w:eastAsia="Calibri"/>
          <w:b/>
          <w:bCs/>
          <w:sz w:val="24"/>
          <w:szCs w:val="24"/>
          <w:lang w:eastAsia="en-US"/>
        </w:rPr>
      </w:pPr>
    </w:p>
    <w:p w14:paraId="04C31585" w14:textId="77777777" w:rsidR="00216BD5" w:rsidRPr="001716D3" w:rsidRDefault="00216BD5" w:rsidP="00216BD5">
      <w:pPr>
        <w:spacing w:after="120" w:line="276" w:lineRule="auto"/>
        <w:rPr>
          <w:rFonts w:eastAsia="Calibri"/>
          <w:b/>
          <w:bCs/>
          <w:sz w:val="24"/>
          <w:szCs w:val="24"/>
          <w:lang w:eastAsia="en-US"/>
        </w:rPr>
      </w:pPr>
      <w:r w:rsidRPr="001716D3">
        <w:rPr>
          <w:rFonts w:eastAsia="Calibri"/>
          <w:b/>
          <w:bCs/>
          <w:sz w:val="24"/>
          <w:szCs w:val="24"/>
          <w:lang w:eastAsia="en-US"/>
        </w:rPr>
        <w:t>ADRESA</w:t>
      </w:r>
    </w:p>
    <w:p w14:paraId="4B1D5586"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Ministerstvo vnútra Slovenskej republiky</w:t>
      </w:r>
    </w:p>
    <w:p w14:paraId="3F66D716"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Prezídium Policajného zboru</w:t>
      </w:r>
    </w:p>
    <w:p w14:paraId="675645ED"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národná kriminálna agentúra</w:t>
      </w:r>
    </w:p>
    <w:p w14:paraId="73C57441"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finančná spravodajská jednotka</w:t>
      </w:r>
    </w:p>
    <w:p w14:paraId="7909D5AD"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Pribinova 2</w:t>
      </w:r>
    </w:p>
    <w:p w14:paraId="095735A1"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812 72 Bratislava</w:t>
      </w:r>
    </w:p>
    <w:p w14:paraId="71B104A0" w14:textId="77777777" w:rsidR="00216BD5" w:rsidRDefault="00216BD5" w:rsidP="00216BD5">
      <w:pPr>
        <w:spacing w:after="120" w:line="276" w:lineRule="auto"/>
        <w:rPr>
          <w:rFonts w:eastAsia="Calibri"/>
          <w:sz w:val="24"/>
          <w:szCs w:val="24"/>
          <w:lang w:eastAsia="en-US"/>
        </w:rPr>
      </w:pPr>
    </w:p>
    <w:p w14:paraId="2F0B7599" w14:textId="77777777" w:rsidR="00216BD5" w:rsidRPr="001716D3" w:rsidRDefault="00216BD5" w:rsidP="00216BD5">
      <w:pPr>
        <w:spacing w:after="120" w:line="276" w:lineRule="auto"/>
        <w:rPr>
          <w:rFonts w:eastAsia="Calibri"/>
          <w:sz w:val="24"/>
          <w:szCs w:val="24"/>
          <w:lang w:eastAsia="en-US"/>
        </w:rPr>
      </w:pPr>
    </w:p>
    <w:p w14:paraId="65AB31A4" w14:textId="77777777" w:rsidR="00216BD5" w:rsidRPr="001716D3" w:rsidRDefault="00216BD5" w:rsidP="00216BD5">
      <w:pPr>
        <w:spacing w:after="120" w:line="276" w:lineRule="auto"/>
        <w:rPr>
          <w:rFonts w:eastAsia="Calibri"/>
          <w:b/>
          <w:bCs/>
          <w:sz w:val="24"/>
          <w:szCs w:val="24"/>
          <w:lang w:eastAsia="en-US"/>
        </w:rPr>
      </w:pPr>
      <w:r w:rsidRPr="001716D3">
        <w:rPr>
          <w:rFonts w:eastAsia="Calibri"/>
          <w:b/>
          <w:bCs/>
          <w:sz w:val="24"/>
          <w:szCs w:val="24"/>
          <w:lang w:eastAsia="en-US"/>
        </w:rPr>
        <w:t>INTERNET</w:t>
      </w:r>
    </w:p>
    <w:p w14:paraId="739C5038"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 xml:space="preserve">web: </w:t>
      </w:r>
      <w:hyperlink r:id="rId25" w:history="1">
        <w:r w:rsidRPr="001716D3">
          <w:rPr>
            <w:rFonts w:eastAsia="Calibri"/>
            <w:color w:val="0000FF"/>
            <w:sz w:val="24"/>
            <w:szCs w:val="24"/>
            <w:u w:val="single"/>
            <w:lang w:eastAsia="en-US"/>
          </w:rPr>
          <w:t>www.minv.sk/?financna-policia</w:t>
        </w:r>
      </w:hyperlink>
    </w:p>
    <w:p w14:paraId="4EBE66E9"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 xml:space="preserve">e-mail: </w:t>
      </w:r>
      <w:hyperlink r:id="rId26" w:history="1">
        <w:r w:rsidRPr="001716D3">
          <w:rPr>
            <w:rFonts w:eastAsia="Calibri"/>
            <w:color w:val="0000FF"/>
            <w:sz w:val="24"/>
            <w:szCs w:val="24"/>
            <w:u w:val="single"/>
            <w:lang w:eastAsia="en-US"/>
          </w:rPr>
          <w:t>sjfpsek@minv.sk</w:t>
        </w:r>
      </w:hyperlink>
    </w:p>
    <w:p w14:paraId="797EC824" w14:textId="77777777" w:rsidR="00216BD5" w:rsidRDefault="00216BD5" w:rsidP="00216BD5">
      <w:pPr>
        <w:spacing w:after="120" w:line="276" w:lineRule="auto"/>
        <w:rPr>
          <w:rFonts w:eastAsia="Calibri"/>
          <w:sz w:val="24"/>
          <w:szCs w:val="24"/>
          <w:lang w:eastAsia="en-US"/>
        </w:rPr>
      </w:pPr>
    </w:p>
    <w:p w14:paraId="0FD10292" w14:textId="77777777" w:rsidR="00216BD5" w:rsidRPr="001716D3" w:rsidRDefault="00216BD5" w:rsidP="00216BD5">
      <w:pPr>
        <w:spacing w:after="120" w:line="276" w:lineRule="auto"/>
        <w:rPr>
          <w:rFonts w:eastAsia="Calibri"/>
          <w:sz w:val="24"/>
          <w:szCs w:val="24"/>
          <w:lang w:eastAsia="en-US"/>
        </w:rPr>
      </w:pPr>
    </w:p>
    <w:p w14:paraId="605C4752" w14:textId="77777777" w:rsidR="00216BD5" w:rsidRPr="001716D3" w:rsidRDefault="00216BD5" w:rsidP="00216BD5">
      <w:pPr>
        <w:spacing w:after="120" w:line="276" w:lineRule="auto"/>
        <w:rPr>
          <w:rFonts w:eastAsia="Calibri"/>
          <w:b/>
          <w:bCs/>
          <w:sz w:val="24"/>
          <w:szCs w:val="24"/>
          <w:lang w:eastAsia="en-US"/>
        </w:rPr>
      </w:pPr>
      <w:r w:rsidRPr="001716D3">
        <w:rPr>
          <w:rFonts w:eastAsia="Calibri"/>
          <w:b/>
          <w:bCs/>
          <w:sz w:val="24"/>
          <w:szCs w:val="24"/>
          <w:lang w:eastAsia="en-US"/>
        </w:rPr>
        <w:t>TELEFÓN/FAX</w:t>
      </w:r>
    </w:p>
    <w:p w14:paraId="4F28FC0A"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tel.: 09610/51402</w:t>
      </w:r>
    </w:p>
    <w:p w14:paraId="7259F102" w14:textId="77777777" w:rsidR="00216BD5" w:rsidRPr="001716D3" w:rsidRDefault="00216BD5" w:rsidP="00216BD5">
      <w:pPr>
        <w:tabs>
          <w:tab w:val="left" w:pos="2565"/>
        </w:tabs>
        <w:spacing w:after="120" w:line="276" w:lineRule="auto"/>
        <w:rPr>
          <w:rFonts w:eastAsia="Calibri"/>
          <w:sz w:val="24"/>
          <w:szCs w:val="24"/>
          <w:lang w:eastAsia="en-US"/>
        </w:rPr>
      </w:pPr>
      <w:r w:rsidRPr="001716D3">
        <w:rPr>
          <w:rFonts w:eastAsia="Calibri"/>
          <w:sz w:val="24"/>
          <w:szCs w:val="24"/>
          <w:lang w:eastAsia="en-US"/>
        </w:rPr>
        <w:t>fax: 09610/59047</w:t>
      </w:r>
      <w:r>
        <w:rPr>
          <w:rFonts w:eastAsia="Calibri"/>
          <w:sz w:val="24"/>
          <w:szCs w:val="24"/>
          <w:lang w:eastAsia="en-US"/>
        </w:rPr>
        <w:tab/>
      </w:r>
    </w:p>
    <w:p w14:paraId="7F7FD0B6" w14:textId="77777777" w:rsidR="00216BD5" w:rsidRDefault="00216BD5" w:rsidP="00216BD5">
      <w:pPr>
        <w:spacing w:after="120" w:line="276" w:lineRule="auto"/>
        <w:rPr>
          <w:rFonts w:eastAsia="Calibri"/>
          <w:sz w:val="24"/>
          <w:szCs w:val="24"/>
          <w:lang w:eastAsia="en-US"/>
        </w:rPr>
      </w:pPr>
    </w:p>
    <w:p w14:paraId="6576C10A" w14:textId="77777777" w:rsidR="00216BD5" w:rsidRPr="001716D3" w:rsidRDefault="00216BD5" w:rsidP="00216BD5">
      <w:pPr>
        <w:spacing w:after="120" w:line="276" w:lineRule="auto"/>
        <w:rPr>
          <w:rFonts w:eastAsia="Calibri"/>
          <w:sz w:val="24"/>
          <w:szCs w:val="24"/>
          <w:lang w:eastAsia="en-US"/>
        </w:rPr>
      </w:pPr>
    </w:p>
    <w:p w14:paraId="17D87E44" w14:textId="77777777" w:rsidR="00216BD5" w:rsidRPr="001716D3" w:rsidRDefault="00216BD5" w:rsidP="00216BD5">
      <w:pPr>
        <w:spacing w:after="120" w:line="276" w:lineRule="auto"/>
        <w:rPr>
          <w:rFonts w:eastAsia="Calibri"/>
          <w:b/>
          <w:bCs/>
          <w:sz w:val="24"/>
          <w:szCs w:val="24"/>
          <w:lang w:eastAsia="en-US"/>
        </w:rPr>
      </w:pPr>
      <w:r w:rsidRPr="001716D3">
        <w:rPr>
          <w:rFonts w:eastAsia="Calibri"/>
          <w:b/>
          <w:bCs/>
          <w:sz w:val="24"/>
          <w:szCs w:val="24"/>
          <w:lang w:eastAsia="en-US"/>
        </w:rPr>
        <w:t>KONTAKTNÉ ÚDAJE PRE OHLASOVANIE NOO</w:t>
      </w:r>
    </w:p>
    <w:p w14:paraId="6770C42D"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Osobne: Račianska 45, 832 02 Bratislava</w:t>
      </w:r>
    </w:p>
    <w:p w14:paraId="6C22EB81"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Písomne: Finančná spravodajská jednotka, Pribinova 2, 812 72 Bratislava</w:t>
      </w:r>
    </w:p>
    <w:p w14:paraId="12B1A90E"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 xml:space="preserve">Elektronicky: </w:t>
      </w:r>
      <w:hyperlink r:id="rId27" w:history="1">
        <w:r w:rsidRPr="001716D3">
          <w:rPr>
            <w:rFonts w:eastAsia="Calibri"/>
            <w:color w:val="0000FF"/>
            <w:sz w:val="24"/>
            <w:szCs w:val="24"/>
            <w:u w:val="single"/>
            <w:lang w:eastAsia="en-US"/>
          </w:rPr>
          <w:t>sjfpnoo@minv.sk</w:t>
        </w:r>
      </w:hyperlink>
    </w:p>
    <w:p w14:paraId="44AF34DC" w14:textId="77777777" w:rsidR="00216BD5" w:rsidRPr="001716D3" w:rsidRDefault="00216BD5" w:rsidP="00216BD5">
      <w:pPr>
        <w:spacing w:after="120" w:line="276" w:lineRule="auto"/>
        <w:rPr>
          <w:rFonts w:eastAsia="Calibri"/>
          <w:sz w:val="24"/>
          <w:szCs w:val="24"/>
          <w:lang w:eastAsia="en-US"/>
        </w:rPr>
      </w:pPr>
      <w:r w:rsidRPr="001716D3">
        <w:rPr>
          <w:rFonts w:eastAsia="Calibri"/>
          <w:sz w:val="24"/>
          <w:szCs w:val="24"/>
          <w:lang w:eastAsia="en-US"/>
        </w:rPr>
        <w:t>Telefonicky: 09610/51419</w:t>
      </w:r>
    </w:p>
    <w:p w14:paraId="108BAD4C" w14:textId="77777777" w:rsidR="00216BD5" w:rsidRPr="001606F1" w:rsidRDefault="00216BD5" w:rsidP="00216BD5">
      <w:pPr>
        <w:spacing w:after="120" w:line="276" w:lineRule="auto"/>
        <w:rPr>
          <w:rFonts w:eastAsia="Calibri"/>
          <w:sz w:val="24"/>
          <w:szCs w:val="24"/>
          <w:lang w:eastAsia="en-US"/>
        </w:rPr>
      </w:pPr>
      <w:r w:rsidRPr="001716D3">
        <w:rPr>
          <w:rFonts w:eastAsia="Calibri"/>
          <w:sz w:val="24"/>
          <w:szCs w:val="24"/>
          <w:lang w:eastAsia="en-US"/>
        </w:rPr>
        <w:t>Faxom: 09610/59047</w:t>
      </w:r>
    </w:p>
    <w:p w14:paraId="5983FA20" w14:textId="77777777" w:rsidR="00216BD5" w:rsidRPr="00E56D4B" w:rsidRDefault="00216BD5" w:rsidP="00216BD5"/>
    <w:p w14:paraId="2DCAAFE9" w14:textId="77777777" w:rsidR="00DC63CE" w:rsidRPr="00216BD5" w:rsidRDefault="00DC63CE" w:rsidP="00216BD5"/>
    <w:sectPr w:rsidR="00DC63CE" w:rsidRPr="00216BD5" w:rsidSect="00413AC8">
      <w:footerReference w:type="default" r:id="rId28"/>
      <w:headerReference w:type="first" r:id="rId29"/>
      <w:footerReference w:type="first" r:id="rId30"/>
      <w:pgSz w:w="11906" w:h="16838"/>
      <w:pgMar w:top="1417" w:right="1417" w:bottom="1417" w:left="1417"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E72A" w14:textId="77777777" w:rsidR="00A97828" w:rsidRDefault="00A97828" w:rsidP="003D2A10">
      <w:r>
        <w:separator/>
      </w:r>
    </w:p>
  </w:endnote>
  <w:endnote w:type="continuationSeparator" w:id="0">
    <w:p w14:paraId="218841B8" w14:textId="77777777" w:rsidR="00A97828" w:rsidRDefault="00A97828" w:rsidP="003D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010697"/>
      <w:docPartObj>
        <w:docPartGallery w:val="Page Numbers (Bottom of Page)"/>
        <w:docPartUnique/>
      </w:docPartObj>
    </w:sdtPr>
    <w:sdtContent>
      <w:p w14:paraId="7F0CAC81" w14:textId="77777777" w:rsidR="006703BB" w:rsidRDefault="006703BB">
        <w:pPr>
          <w:pStyle w:val="Pta"/>
        </w:pPr>
        <w:r>
          <w:rPr>
            <w:rFonts w:asciiTheme="majorHAnsi" w:eastAsiaTheme="majorEastAsia" w:hAnsiTheme="majorHAnsi" w:cstheme="majorBidi"/>
            <w:noProof/>
            <w:sz w:val="28"/>
            <w:szCs w:val="28"/>
          </w:rPr>
          <mc:AlternateContent>
            <mc:Choice Requires="wps">
              <w:drawing>
                <wp:anchor distT="0" distB="0" distL="114300" distR="114300" simplePos="0" relativeHeight="251666432" behindDoc="0" locked="0" layoutInCell="1" allowOverlap="1" wp14:anchorId="6AEDEA96" wp14:editId="444D5A74">
                  <wp:simplePos x="0" y="0"/>
                  <wp:positionH relativeFrom="rightMargin">
                    <wp:align>center</wp:align>
                  </wp:positionH>
                  <wp:positionV relativeFrom="bottomMargin">
                    <wp:align>center</wp:align>
                  </wp:positionV>
                  <wp:extent cx="512445" cy="441325"/>
                  <wp:effectExtent l="0" t="0" r="1905" b="0"/>
                  <wp:wrapNone/>
                  <wp:docPr id="6" name="Vývojový diagram: alternatívny proc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76F2C8A" w14:textId="77777777" w:rsidR="006703BB" w:rsidRDefault="006703BB">
                              <w:pPr>
                                <w:pStyle w:val="Pta"/>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7C3FD8" w:rsidRPr="007C3FD8">
                                <w:rPr>
                                  <w:noProof/>
                                  <w:sz w:val="28"/>
                                  <w:szCs w:val="28"/>
                                </w:rPr>
                                <w:t>12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DEA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6" o:spid="_x0000_s1027" type="#_x0000_t176" style="position:absolute;left:0;text-align:left;margin-left:0;margin-top:0;width:40.35pt;height:34.75pt;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" filled="f" fillcolor="#5c83b4" stroked="f" strokecolor="#737373">
                  <v:textbox>
                    <w:txbxContent>
                      <w:p w14:paraId="776F2C8A" w14:textId="77777777" w:rsidR="006703BB" w:rsidRDefault="006703BB">
                        <w:pPr>
                          <w:pStyle w:val="Pta"/>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7C3FD8" w:rsidRPr="007C3FD8">
                          <w:rPr>
                            <w:noProof/>
                            <w:sz w:val="28"/>
                            <w:szCs w:val="28"/>
                          </w:rPr>
                          <w:t>12</w:t>
                        </w:r>
                        <w:r>
                          <w:rPr>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393D" w14:textId="77777777" w:rsidR="006703BB" w:rsidRPr="00DF28F5" w:rsidRDefault="006703BB" w:rsidP="0004661D">
    <w:pPr>
      <w:tabs>
        <w:tab w:val="center" w:pos="851"/>
        <w:tab w:val="center" w:pos="7513"/>
      </w:tabs>
      <w:spacing w:after="120"/>
      <w:rPr>
        <w:bCs/>
        <w:sz w:val="24"/>
        <w:szCs w:val="24"/>
        <w:u w:val="single"/>
      </w:rPr>
    </w:pPr>
    <w:r w:rsidRPr="00DF28F5">
      <w:rPr>
        <w:bCs/>
        <w:sz w:val="24"/>
        <w:szCs w:val="24"/>
        <w:u w:val="single"/>
      </w:rPr>
      <w:t>Materiál predkladá:</w:t>
    </w:r>
    <w:r w:rsidRPr="00A92705">
      <w:rPr>
        <w:bCs/>
        <w:sz w:val="24"/>
        <w:szCs w:val="24"/>
      </w:rPr>
      <w:tab/>
    </w:r>
    <w:r w:rsidRPr="00DF28F5">
      <w:rPr>
        <w:bCs/>
        <w:sz w:val="24"/>
        <w:szCs w:val="24"/>
        <w:u w:val="single"/>
      </w:rPr>
      <w:t>Materiál obsahuje:</w:t>
    </w:r>
  </w:p>
  <w:p w14:paraId="441C95A1" w14:textId="77777777" w:rsidR="006703BB" w:rsidRPr="00DF28F5" w:rsidRDefault="006703BB" w:rsidP="0004661D">
    <w:pPr>
      <w:tabs>
        <w:tab w:val="center" w:pos="851"/>
        <w:tab w:val="center" w:pos="7513"/>
      </w:tabs>
      <w:spacing w:after="120"/>
      <w:rPr>
        <w:bCs/>
        <w:sz w:val="24"/>
        <w:szCs w:val="24"/>
      </w:rPr>
    </w:pPr>
    <w:r>
      <w:rPr>
        <w:bCs/>
        <w:sz w:val="24"/>
        <w:szCs w:val="24"/>
      </w:rPr>
      <w:tab/>
    </w:r>
    <w:r w:rsidRPr="00DF28F5">
      <w:rPr>
        <w:bCs/>
        <w:sz w:val="24"/>
        <w:szCs w:val="24"/>
      </w:rPr>
      <w:t>plk. Mgr. Ján Rapavý</w:t>
    </w:r>
    <w:r w:rsidRPr="00DF28F5">
      <w:rPr>
        <w:bCs/>
        <w:sz w:val="24"/>
        <w:szCs w:val="24"/>
      </w:rPr>
      <w:tab/>
      <w:t xml:space="preserve">informáciu o činnosti </w:t>
    </w:r>
  </w:p>
  <w:p w14:paraId="17A50B5F" w14:textId="77777777" w:rsidR="006703BB" w:rsidRPr="00DF28F5" w:rsidRDefault="006703BB" w:rsidP="0004661D">
    <w:pPr>
      <w:tabs>
        <w:tab w:val="center" w:pos="851"/>
        <w:tab w:val="center" w:pos="7513"/>
      </w:tabs>
      <w:spacing w:after="120"/>
      <w:rPr>
        <w:bCs/>
        <w:sz w:val="24"/>
        <w:szCs w:val="24"/>
      </w:rPr>
    </w:pPr>
    <w:r>
      <w:rPr>
        <w:bCs/>
        <w:sz w:val="24"/>
        <w:szCs w:val="24"/>
      </w:rPr>
      <w:tab/>
    </w:r>
    <w:r w:rsidRPr="00DF28F5">
      <w:rPr>
        <w:bCs/>
        <w:sz w:val="24"/>
        <w:szCs w:val="24"/>
      </w:rPr>
      <w:t>riaditeľ</w:t>
    </w:r>
    <w:r>
      <w:rPr>
        <w:bCs/>
        <w:sz w:val="24"/>
        <w:szCs w:val="24"/>
      </w:rPr>
      <w:tab/>
    </w:r>
    <w:r w:rsidRPr="00DF28F5">
      <w:rPr>
        <w:bCs/>
        <w:sz w:val="24"/>
        <w:szCs w:val="24"/>
      </w:rPr>
      <w:t>a výsledkoch FSJ za rok 2014</w:t>
    </w:r>
  </w:p>
  <w:p w14:paraId="31B1F2BC" w14:textId="77777777" w:rsidR="006703BB" w:rsidRDefault="006703BB" w:rsidP="0004661D">
    <w:pPr>
      <w:tabs>
        <w:tab w:val="center" w:pos="851"/>
        <w:tab w:val="center" w:pos="7513"/>
      </w:tabs>
      <w:spacing w:after="120"/>
      <w:jc w:val="center"/>
      <w:rPr>
        <w:bCs/>
        <w:sz w:val="24"/>
        <w:szCs w:val="24"/>
      </w:rPr>
    </w:pPr>
  </w:p>
  <w:p w14:paraId="12B9EB1E" w14:textId="77777777" w:rsidR="006703BB" w:rsidRDefault="006703BB" w:rsidP="0004661D">
    <w:pPr>
      <w:tabs>
        <w:tab w:val="center" w:pos="851"/>
        <w:tab w:val="center" w:pos="7513"/>
      </w:tabs>
      <w:spacing w:after="120"/>
      <w:jc w:val="center"/>
      <w:rPr>
        <w:bCs/>
        <w:sz w:val="24"/>
        <w:szCs w:val="24"/>
      </w:rPr>
    </w:pPr>
  </w:p>
  <w:p w14:paraId="017DA90E" w14:textId="77777777" w:rsidR="006703BB" w:rsidRDefault="006703BB" w:rsidP="0004661D">
    <w:pPr>
      <w:tabs>
        <w:tab w:val="center" w:pos="851"/>
        <w:tab w:val="center" w:pos="7513"/>
      </w:tabs>
      <w:spacing w:after="120"/>
      <w:jc w:val="center"/>
      <w:rPr>
        <w:bCs/>
        <w:sz w:val="24"/>
        <w:szCs w:val="24"/>
      </w:rPr>
    </w:pPr>
  </w:p>
  <w:p w14:paraId="4CCB38AE" w14:textId="77777777" w:rsidR="006703BB" w:rsidRDefault="006703BB" w:rsidP="0004661D">
    <w:pPr>
      <w:pStyle w:val="Pta"/>
      <w:jc w:val="center"/>
    </w:pPr>
    <w:r>
      <w:rPr>
        <w:bCs/>
        <w:sz w:val="24"/>
        <w:szCs w:val="24"/>
      </w:rPr>
      <w:t>Bratislava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71E03" w14:textId="77777777" w:rsidR="006703BB" w:rsidRDefault="006703BB">
    <w:pPr>
      <w:pStyle w:val="Pta"/>
    </w:pPr>
    <w:r>
      <w:rPr>
        <w:noProof/>
      </w:rPr>
      <w:drawing>
        <wp:anchor distT="0" distB="0" distL="114300" distR="114300" simplePos="0" relativeHeight="251667456" behindDoc="0" locked="0" layoutInCell="1" allowOverlap="1" wp14:anchorId="70968E69" wp14:editId="5AE24263">
          <wp:simplePos x="0" y="0"/>
          <wp:positionH relativeFrom="column">
            <wp:posOffset>-368300</wp:posOffset>
          </wp:positionH>
          <wp:positionV relativeFrom="paragraph">
            <wp:posOffset>-78105</wp:posOffset>
          </wp:positionV>
          <wp:extent cx="323850" cy="304800"/>
          <wp:effectExtent l="0" t="9525" r="9525" b="952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3238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605618"/>
      <w:docPartObj>
        <w:docPartGallery w:val="Page Numbers (Bottom of Page)"/>
        <w:docPartUnique/>
      </w:docPartObj>
    </w:sdtPr>
    <w:sdtContent>
      <w:p w14:paraId="2DCAB00C" w14:textId="77777777" w:rsidR="006703BB" w:rsidRDefault="006703BB" w:rsidP="00413AC8">
        <w:pPr>
          <w:pStyle w:val="Pta"/>
          <w:jc w:val="right"/>
        </w:pPr>
        <w:r>
          <w:rPr>
            <w:rFonts w:asciiTheme="majorHAnsi" w:eastAsiaTheme="majorEastAsia" w:hAnsiTheme="majorHAnsi" w:cstheme="majorBidi"/>
            <w:noProof/>
            <w:sz w:val="28"/>
            <w:szCs w:val="28"/>
          </w:rPr>
          <mc:AlternateContent>
            <mc:Choice Requires="wps">
              <w:drawing>
                <wp:anchor distT="0" distB="0" distL="114300" distR="114300" simplePos="0" relativeHeight="251664384" behindDoc="0" locked="0" layoutInCell="1" allowOverlap="1" wp14:anchorId="2DCAB015" wp14:editId="2DCAB016">
                  <wp:simplePos x="0" y="0"/>
                  <wp:positionH relativeFrom="rightMargin">
                    <wp:align>center</wp:align>
                  </wp:positionH>
                  <wp:positionV relativeFrom="bottomMargin">
                    <wp:align>center</wp:align>
                  </wp:positionV>
                  <wp:extent cx="512445" cy="441325"/>
                  <wp:effectExtent l="0" t="0" r="1905" b="0"/>
                  <wp:wrapNone/>
                  <wp:docPr id="14" name="Vývojový diagram: alternatívny proce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DCAB018" w14:textId="77777777" w:rsidR="006703BB" w:rsidRDefault="006703BB">
                              <w:pPr>
                                <w:pStyle w:val="Pta"/>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7C3FD8" w:rsidRPr="007C3FD8">
                                <w:rPr>
                                  <w:noProof/>
                                  <w:sz w:val="28"/>
                                  <w:szCs w:val="28"/>
                                </w:rPr>
                                <w:t>22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AB0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14" o:spid="_x0000_s1028" type="#_x0000_t176" style="position:absolute;left:0;text-align:left;margin-left:0;margin-top:0;width:40.35pt;height:34.7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IkwjPvjAgAA7AUAAA4AAAAAAAAAAAAAAAAA&#10;LgIAAGRycy9lMm9Eb2MueG1sUEsBAi0AFAAGAAgAAAAhABrkTJ3ZAAAAAwEAAA8AAAAAAAAAAAAA&#10;AAAAPQUAAGRycy9kb3ducmV2LnhtbFBLBQYAAAAABAAEAPMAAABDBgAAAAA=&#10;" filled="f" fillcolor="#5c83b4" stroked="f" strokecolor="#737373">
                  <v:textbox>
                    <w:txbxContent>
                      <w:p w14:paraId="2DCAB018" w14:textId="77777777" w:rsidR="006703BB" w:rsidRDefault="006703BB">
                        <w:pPr>
                          <w:pStyle w:val="Pta"/>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sidR="007C3FD8" w:rsidRPr="007C3FD8">
                          <w:rPr>
                            <w:noProof/>
                            <w:sz w:val="28"/>
                            <w:szCs w:val="28"/>
                          </w:rPr>
                          <w:t>22</w:t>
                        </w:r>
                        <w:r>
                          <w:rPr>
                            <w:sz w:val="28"/>
                            <w:szCs w:val="28"/>
                          </w:rPr>
                          <w:fldChar w:fldCharType="end"/>
                        </w:r>
                      </w:p>
                    </w:txbxContent>
                  </v:textbox>
                  <w10:wrap anchorx="margin" anchory="margin"/>
                </v:shape>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B00E" w14:textId="77777777" w:rsidR="006703BB" w:rsidRPr="00413AC8" w:rsidRDefault="006703BB" w:rsidP="00413A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E16AC" w14:textId="77777777" w:rsidR="00A97828" w:rsidRDefault="00A97828" w:rsidP="003D2A10">
      <w:r>
        <w:separator/>
      </w:r>
    </w:p>
  </w:footnote>
  <w:footnote w:type="continuationSeparator" w:id="0">
    <w:p w14:paraId="5DF52A69" w14:textId="77777777" w:rsidR="00A97828" w:rsidRDefault="00A97828" w:rsidP="003D2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BC74D" w14:textId="77777777" w:rsidR="006703BB" w:rsidRDefault="006703BB" w:rsidP="0004661D">
    <w:pPr>
      <w:tabs>
        <w:tab w:val="center" w:pos="4962"/>
      </w:tabs>
      <w:autoSpaceDE w:val="0"/>
      <w:autoSpaceDN w:val="0"/>
      <w:adjustRightInd w:val="0"/>
      <w:spacing w:line="340" w:lineRule="exact"/>
      <w:jc w:val="left"/>
      <w:rPr>
        <w:b/>
        <w:sz w:val="28"/>
        <w:szCs w:val="28"/>
      </w:rPr>
    </w:pPr>
    <w:r>
      <w:rPr>
        <w:b/>
        <w:bCs/>
        <w:noProof/>
        <w:sz w:val="28"/>
        <w:szCs w:val="28"/>
      </w:rPr>
      <w:drawing>
        <wp:anchor distT="0" distB="0" distL="114300" distR="114300" simplePos="0" relativeHeight="251668480" behindDoc="1" locked="0" layoutInCell="1" allowOverlap="1" wp14:anchorId="6693E570" wp14:editId="52D5D699">
          <wp:simplePos x="0" y="0"/>
          <wp:positionH relativeFrom="column">
            <wp:posOffset>9525</wp:posOffset>
          </wp:positionH>
          <wp:positionV relativeFrom="paragraph">
            <wp:posOffset>-200660</wp:posOffset>
          </wp:positionV>
          <wp:extent cx="935355" cy="1104265"/>
          <wp:effectExtent l="0" t="0" r="0" b="635"/>
          <wp:wrapNone/>
          <wp:docPr id="4" name="Obrázok 4" descr="Popis: NA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NA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t>MINISTERSTVO VNÚTRA SLOVENSKEJ REPUBLIKY</w:t>
    </w:r>
  </w:p>
  <w:p w14:paraId="0309B509" w14:textId="77777777" w:rsidR="006703BB" w:rsidRDefault="006703BB" w:rsidP="0004661D">
    <w:pPr>
      <w:tabs>
        <w:tab w:val="center" w:pos="4962"/>
      </w:tabs>
      <w:spacing w:line="340" w:lineRule="exact"/>
      <w:jc w:val="left"/>
      <w:rPr>
        <w:b/>
        <w:bCs/>
        <w:sz w:val="32"/>
        <w:szCs w:val="24"/>
      </w:rPr>
    </w:pPr>
    <w:r>
      <w:rPr>
        <w:b/>
        <w:bCs/>
        <w:sz w:val="28"/>
        <w:szCs w:val="28"/>
      </w:rPr>
      <w:tab/>
      <w:t>PREZÍDIUM POLICAJNÉHO ZBORU</w:t>
    </w:r>
  </w:p>
  <w:p w14:paraId="2672C881" w14:textId="77777777" w:rsidR="006703BB" w:rsidRPr="00D31CFB" w:rsidRDefault="006703BB" w:rsidP="0004661D">
    <w:pPr>
      <w:tabs>
        <w:tab w:val="center" w:pos="4962"/>
      </w:tabs>
      <w:spacing w:line="340" w:lineRule="exact"/>
      <w:jc w:val="left"/>
      <w:rPr>
        <w:bCs/>
        <w:sz w:val="32"/>
        <w:szCs w:val="24"/>
      </w:rPr>
    </w:pPr>
    <w:r>
      <w:rPr>
        <w:bCs/>
        <w:sz w:val="28"/>
        <w:szCs w:val="24"/>
      </w:rPr>
      <w:tab/>
    </w:r>
    <w:r w:rsidRPr="00D31CFB">
      <w:rPr>
        <w:bCs/>
        <w:sz w:val="28"/>
        <w:szCs w:val="24"/>
      </w:rPr>
      <w:t>národná kriminálna agentúra</w:t>
    </w:r>
  </w:p>
  <w:p w14:paraId="1C82B31E" w14:textId="77777777" w:rsidR="006703BB" w:rsidRDefault="006703BB" w:rsidP="0004661D">
    <w:pPr>
      <w:tabs>
        <w:tab w:val="center" w:pos="4962"/>
        <w:tab w:val="right" w:pos="9356"/>
      </w:tabs>
      <w:spacing w:line="340" w:lineRule="exact"/>
      <w:jc w:val="left"/>
      <w:rPr>
        <w:sz w:val="28"/>
        <w:szCs w:val="28"/>
      </w:rPr>
    </w:pPr>
    <w:r>
      <w:rPr>
        <w:sz w:val="28"/>
        <w:szCs w:val="28"/>
      </w:rPr>
      <w:tab/>
    </w:r>
    <w:r w:rsidRPr="00D31CFB">
      <w:rPr>
        <w:sz w:val="28"/>
        <w:szCs w:val="28"/>
      </w:rPr>
      <w:t>finančná spravodajská jednotka</w:t>
    </w:r>
  </w:p>
  <w:p w14:paraId="5D1E3D7E" w14:textId="77777777" w:rsidR="006703BB" w:rsidRPr="00D31CFB" w:rsidRDefault="006703BB" w:rsidP="0004661D">
    <w:pPr>
      <w:pBdr>
        <w:top w:val="single" w:sz="4" w:space="1" w:color="auto"/>
      </w:pBdr>
      <w:tabs>
        <w:tab w:val="right" w:pos="9072"/>
      </w:tabs>
      <w:spacing w:line="340" w:lineRule="exact"/>
      <w:jc w:val="center"/>
      <w:rPr>
        <w:b/>
        <w:sz w:val="28"/>
        <w:szCs w:val="28"/>
      </w:rPr>
    </w:pPr>
    <w:r>
      <w:rPr>
        <w:sz w:val="22"/>
        <w:szCs w:val="22"/>
      </w:rPr>
      <w:t>PPZ-NKA-FSJ-65-014/2015</w:t>
    </w:r>
    <w:r>
      <w:rPr>
        <w:sz w:val="22"/>
        <w:szCs w:val="22"/>
      </w:rPr>
      <w:tab/>
      <w:t>Bratislava 27. 02.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B00D" w14:textId="77777777" w:rsidR="006703BB" w:rsidRPr="00F02CDA" w:rsidRDefault="006703BB" w:rsidP="00F02CD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07C8A"/>
    <w:multiLevelType w:val="hybridMultilevel"/>
    <w:tmpl w:val="0E7AD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BC21AD9"/>
    <w:multiLevelType w:val="hybridMultilevel"/>
    <w:tmpl w:val="3B50D4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C1666EA"/>
    <w:multiLevelType w:val="hybridMultilevel"/>
    <w:tmpl w:val="DEE217BE"/>
    <w:lvl w:ilvl="0" w:tplc="9F8C2D82">
      <w:start w:val="1"/>
      <w:numFmt w:val="bullet"/>
      <w:lvlText w:val=""/>
      <w:lvlJc w:val="left"/>
      <w:pPr>
        <w:ind w:left="720" w:hanging="360"/>
      </w:pPr>
      <w:rPr>
        <w:rFonts w:ascii="Wingdings" w:hAnsi="Wingdings" w:hint="default"/>
        <w:spacing w:val="20"/>
        <w:position w:val="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36F3F96"/>
    <w:multiLevelType w:val="hybridMultilevel"/>
    <w:tmpl w:val="4B1A944A"/>
    <w:lvl w:ilvl="0" w:tplc="041B0001">
      <w:start w:val="1"/>
      <w:numFmt w:val="bullet"/>
      <w:lvlText w:val=""/>
      <w:lvlJc w:val="left"/>
      <w:pPr>
        <w:ind w:left="720" w:hanging="360"/>
      </w:pPr>
      <w:rPr>
        <w:rFonts w:ascii="Symbol" w:hAnsi="Symbol" w:hint="default"/>
        <w:spacing w:val="20"/>
        <w:position w:val="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FC32349"/>
    <w:multiLevelType w:val="hybridMultilevel"/>
    <w:tmpl w:val="A822CE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17C6EAD"/>
    <w:multiLevelType w:val="hybridMultilevel"/>
    <w:tmpl w:val="53CE5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3124123"/>
    <w:multiLevelType w:val="hybridMultilevel"/>
    <w:tmpl w:val="45A8914A"/>
    <w:lvl w:ilvl="0" w:tplc="03CAB46E">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56"/>
    <w:rsid w:val="000002C6"/>
    <w:rsid w:val="00021766"/>
    <w:rsid w:val="00025FEA"/>
    <w:rsid w:val="00033704"/>
    <w:rsid w:val="0004661D"/>
    <w:rsid w:val="00051ACA"/>
    <w:rsid w:val="000949E1"/>
    <w:rsid w:val="000959B8"/>
    <w:rsid w:val="000A0CF2"/>
    <w:rsid w:val="000B7189"/>
    <w:rsid w:val="000C0F27"/>
    <w:rsid w:val="000D41FA"/>
    <w:rsid w:val="000D509E"/>
    <w:rsid w:val="000E73CA"/>
    <w:rsid w:val="00161802"/>
    <w:rsid w:val="0016270D"/>
    <w:rsid w:val="00162D8F"/>
    <w:rsid w:val="0016386A"/>
    <w:rsid w:val="0017029B"/>
    <w:rsid w:val="001716D3"/>
    <w:rsid w:val="00181560"/>
    <w:rsid w:val="0019483A"/>
    <w:rsid w:val="00196E0F"/>
    <w:rsid w:val="001B2ECC"/>
    <w:rsid w:val="001B643D"/>
    <w:rsid w:val="001D0AA1"/>
    <w:rsid w:val="001D6C41"/>
    <w:rsid w:val="00216BD5"/>
    <w:rsid w:val="00227829"/>
    <w:rsid w:val="00232658"/>
    <w:rsid w:val="002A2BCA"/>
    <w:rsid w:val="002A44C6"/>
    <w:rsid w:val="002D4B50"/>
    <w:rsid w:val="002D5462"/>
    <w:rsid w:val="002D7CCE"/>
    <w:rsid w:val="002F7024"/>
    <w:rsid w:val="00327428"/>
    <w:rsid w:val="00342091"/>
    <w:rsid w:val="00343BE9"/>
    <w:rsid w:val="00364404"/>
    <w:rsid w:val="003675D1"/>
    <w:rsid w:val="00381710"/>
    <w:rsid w:val="00381FE2"/>
    <w:rsid w:val="003879DF"/>
    <w:rsid w:val="003A37AA"/>
    <w:rsid w:val="003C2354"/>
    <w:rsid w:val="003D0787"/>
    <w:rsid w:val="003D2A10"/>
    <w:rsid w:val="003E078F"/>
    <w:rsid w:val="003E3679"/>
    <w:rsid w:val="00412B00"/>
    <w:rsid w:val="00413AC8"/>
    <w:rsid w:val="004142D1"/>
    <w:rsid w:val="00414F84"/>
    <w:rsid w:val="004162C0"/>
    <w:rsid w:val="0042239C"/>
    <w:rsid w:val="00435C44"/>
    <w:rsid w:val="004510A9"/>
    <w:rsid w:val="004515BF"/>
    <w:rsid w:val="0047264C"/>
    <w:rsid w:val="00477BD4"/>
    <w:rsid w:val="00487E09"/>
    <w:rsid w:val="004B559C"/>
    <w:rsid w:val="004B69C3"/>
    <w:rsid w:val="004C0CAE"/>
    <w:rsid w:val="004D3F11"/>
    <w:rsid w:val="00507E14"/>
    <w:rsid w:val="00514FD1"/>
    <w:rsid w:val="00515530"/>
    <w:rsid w:val="00517192"/>
    <w:rsid w:val="005411E7"/>
    <w:rsid w:val="005930DD"/>
    <w:rsid w:val="005A1F3E"/>
    <w:rsid w:val="005D1153"/>
    <w:rsid w:val="005D49BB"/>
    <w:rsid w:val="005F0EC7"/>
    <w:rsid w:val="005F15F4"/>
    <w:rsid w:val="005F2045"/>
    <w:rsid w:val="00604918"/>
    <w:rsid w:val="006311E7"/>
    <w:rsid w:val="00632F3B"/>
    <w:rsid w:val="00660814"/>
    <w:rsid w:val="00666140"/>
    <w:rsid w:val="006703BB"/>
    <w:rsid w:val="006A0299"/>
    <w:rsid w:val="006A775F"/>
    <w:rsid w:val="006F6642"/>
    <w:rsid w:val="00703168"/>
    <w:rsid w:val="00720910"/>
    <w:rsid w:val="00722AC6"/>
    <w:rsid w:val="00776367"/>
    <w:rsid w:val="0079408A"/>
    <w:rsid w:val="00796EFA"/>
    <w:rsid w:val="007C3FD8"/>
    <w:rsid w:val="007F5E8A"/>
    <w:rsid w:val="00805DB4"/>
    <w:rsid w:val="0082506A"/>
    <w:rsid w:val="00842195"/>
    <w:rsid w:val="00881E65"/>
    <w:rsid w:val="008E6B4E"/>
    <w:rsid w:val="008F52F5"/>
    <w:rsid w:val="0090505F"/>
    <w:rsid w:val="00914798"/>
    <w:rsid w:val="0091556B"/>
    <w:rsid w:val="00917925"/>
    <w:rsid w:val="009231D9"/>
    <w:rsid w:val="009542D2"/>
    <w:rsid w:val="00991D63"/>
    <w:rsid w:val="009A5EBD"/>
    <w:rsid w:val="009A74BE"/>
    <w:rsid w:val="009D307D"/>
    <w:rsid w:val="009E2F6E"/>
    <w:rsid w:val="00A10B57"/>
    <w:rsid w:val="00A13001"/>
    <w:rsid w:val="00A2128A"/>
    <w:rsid w:val="00A3766A"/>
    <w:rsid w:val="00A433FE"/>
    <w:rsid w:val="00A65E7D"/>
    <w:rsid w:val="00A67E5B"/>
    <w:rsid w:val="00A72C4E"/>
    <w:rsid w:val="00A92705"/>
    <w:rsid w:val="00A97828"/>
    <w:rsid w:val="00AA5CB8"/>
    <w:rsid w:val="00AB29C3"/>
    <w:rsid w:val="00AD1EAF"/>
    <w:rsid w:val="00AF07AA"/>
    <w:rsid w:val="00AF36FF"/>
    <w:rsid w:val="00B378FB"/>
    <w:rsid w:val="00B65E0F"/>
    <w:rsid w:val="00B738F1"/>
    <w:rsid w:val="00B93DA7"/>
    <w:rsid w:val="00BA6A9C"/>
    <w:rsid w:val="00BC3B89"/>
    <w:rsid w:val="00BD4634"/>
    <w:rsid w:val="00BD5456"/>
    <w:rsid w:val="00BE75E6"/>
    <w:rsid w:val="00BE7FF0"/>
    <w:rsid w:val="00BF7E79"/>
    <w:rsid w:val="00C1541C"/>
    <w:rsid w:val="00C36E09"/>
    <w:rsid w:val="00C47B74"/>
    <w:rsid w:val="00C50386"/>
    <w:rsid w:val="00C778AE"/>
    <w:rsid w:val="00C90088"/>
    <w:rsid w:val="00CC0CB3"/>
    <w:rsid w:val="00CD610F"/>
    <w:rsid w:val="00D12829"/>
    <w:rsid w:val="00D31CFB"/>
    <w:rsid w:val="00D41874"/>
    <w:rsid w:val="00D502DE"/>
    <w:rsid w:val="00D63F62"/>
    <w:rsid w:val="00D95E57"/>
    <w:rsid w:val="00DA095D"/>
    <w:rsid w:val="00DC0253"/>
    <w:rsid w:val="00DC63CE"/>
    <w:rsid w:val="00DE36FD"/>
    <w:rsid w:val="00E11645"/>
    <w:rsid w:val="00E56D4B"/>
    <w:rsid w:val="00E57537"/>
    <w:rsid w:val="00E625D8"/>
    <w:rsid w:val="00E9052A"/>
    <w:rsid w:val="00EA627A"/>
    <w:rsid w:val="00EC3B44"/>
    <w:rsid w:val="00EE172F"/>
    <w:rsid w:val="00F02CDA"/>
    <w:rsid w:val="00F25529"/>
    <w:rsid w:val="00F30C11"/>
    <w:rsid w:val="00F3641D"/>
    <w:rsid w:val="00F439DE"/>
    <w:rsid w:val="00F53B03"/>
    <w:rsid w:val="00F75DAA"/>
    <w:rsid w:val="00FD58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AAB26"/>
  <w15:docId w15:val="{8B11A45B-EAC0-4F43-9C74-3AC92DB3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2A10"/>
    <w:pPr>
      <w:spacing w:after="0" w:line="240" w:lineRule="auto"/>
      <w:jc w:val="both"/>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E11645"/>
    <w:pPr>
      <w:keepNext/>
      <w:spacing w:before="240" w:after="60" w:line="276" w:lineRule="auto"/>
      <w:jc w:val="left"/>
      <w:outlineLvl w:val="0"/>
    </w:pPr>
    <w:rPr>
      <w:rFonts w:ascii="Arial" w:eastAsia="Calibri" w:hAnsi="Arial" w:cs="Arial"/>
      <w:b/>
      <w:bCs/>
      <w:kern w:val="32"/>
      <w:sz w:val="32"/>
      <w:szCs w:val="32"/>
      <w:lang w:eastAsia="en-US"/>
    </w:rPr>
  </w:style>
  <w:style w:type="paragraph" w:styleId="Nadpis2">
    <w:name w:val="heading 2"/>
    <w:basedOn w:val="Normlny"/>
    <w:next w:val="Normlny"/>
    <w:link w:val="Nadpis2Char"/>
    <w:uiPriority w:val="99"/>
    <w:qFormat/>
    <w:rsid w:val="00E11645"/>
    <w:pPr>
      <w:keepNext/>
      <w:spacing w:before="240" w:after="60" w:line="276" w:lineRule="auto"/>
      <w:jc w:val="left"/>
      <w:outlineLvl w:val="1"/>
    </w:pPr>
    <w:rPr>
      <w:rFonts w:ascii="Arial" w:eastAsia="Calibri" w:hAnsi="Arial" w:cs="Arial"/>
      <w:b/>
      <w:bCs/>
      <w:i/>
      <w:iCs/>
      <w:sz w:val="28"/>
      <w:szCs w:val="28"/>
      <w:lang w:eastAsia="en-US"/>
    </w:rPr>
  </w:style>
  <w:style w:type="paragraph" w:styleId="Nadpis3">
    <w:name w:val="heading 3"/>
    <w:basedOn w:val="Normlny"/>
    <w:next w:val="Normlny"/>
    <w:link w:val="Nadpis3Char"/>
    <w:uiPriority w:val="9"/>
    <w:semiHidden/>
    <w:unhideWhenUsed/>
    <w:qFormat/>
    <w:rsid w:val="001716D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D2A10"/>
    <w:pPr>
      <w:tabs>
        <w:tab w:val="center" w:pos="4536"/>
        <w:tab w:val="right" w:pos="9072"/>
      </w:tabs>
    </w:pPr>
  </w:style>
  <w:style w:type="character" w:customStyle="1" w:styleId="HlavikaChar">
    <w:name w:val="Hlavička Char"/>
    <w:basedOn w:val="Predvolenpsmoodseku"/>
    <w:link w:val="Hlavika"/>
    <w:uiPriority w:val="99"/>
    <w:rsid w:val="003D2A1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D2A10"/>
    <w:pPr>
      <w:tabs>
        <w:tab w:val="center" w:pos="4536"/>
        <w:tab w:val="right" w:pos="9072"/>
      </w:tabs>
    </w:pPr>
  </w:style>
  <w:style w:type="character" w:customStyle="1" w:styleId="PtaChar">
    <w:name w:val="Päta Char"/>
    <w:basedOn w:val="Predvolenpsmoodseku"/>
    <w:link w:val="Pta"/>
    <w:uiPriority w:val="99"/>
    <w:rsid w:val="003D2A1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DC63CE"/>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63CE"/>
    <w:rPr>
      <w:rFonts w:ascii="Segoe UI" w:eastAsia="Times New Roman" w:hAnsi="Segoe UI" w:cs="Segoe UI"/>
      <w:sz w:val="18"/>
      <w:szCs w:val="18"/>
      <w:lang w:eastAsia="sk-SK"/>
    </w:rPr>
  </w:style>
  <w:style w:type="table" w:styleId="Mriekatabuky">
    <w:name w:val="Table Grid"/>
    <w:basedOn w:val="Normlnatabuka"/>
    <w:uiPriority w:val="39"/>
    <w:rsid w:val="00F02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F02CDA"/>
    <w:pPr>
      <w:spacing w:after="160" w:line="259" w:lineRule="auto"/>
      <w:ind w:left="720"/>
      <w:contextualSpacing/>
      <w:jc w:val="left"/>
    </w:pPr>
    <w:rPr>
      <w:rFonts w:eastAsiaTheme="minorHAnsi" w:cstheme="minorBidi"/>
      <w:sz w:val="24"/>
      <w:szCs w:val="22"/>
      <w:lang w:eastAsia="en-US"/>
    </w:rPr>
  </w:style>
  <w:style w:type="table" w:customStyle="1" w:styleId="Mriekatabuky1">
    <w:name w:val="Mriežka tabuľky1"/>
    <w:basedOn w:val="Normlnatabuka"/>
    <w:next w:val="Mriekatabuky"/>
    <w:uiPriority w:val="39"/>
    <w:rsid w:val="00F02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47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477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kapitoly">
    <w:name w:val="Názov kapitoly"/>
    <w:basedOn w:val="Normlny"/>
    <w:next w:val="Normlny"/>
    <w:link w:val="NzovkapitolyChar"/>
    <w:qFormat/>
    <w:rsid w:val="001B643D"/>
    <w:pPr>
      <w:jc w:val="center"/>
    </w:pPr>
    <w:rPr>
      <w:b/>
      <w:sz w:val="28"/>
      <w:szCs w:val="28"/>
    </w:rPr>
  </w:style>
  <w:style w:type="character" w:customStyle="1" w:styleId="NzovkapitolyChar">
    <w:name w:val="Názov kapitoly Char"/>
    <w:basedOn w:val="Predvolenpsmoodseku"/>
    <w:link w:val="Nzovkapitoly"/>
    <w:rsid w:val="001B643D"/>
    <w:rPr>
      <w:rFonts w:ascii="Times New Roman" w:eastAsia="Times New Roman" w:hAnsi="Times New Roman" w:cs="Times New Roman"/>
      <w:b/>
      <w:sz w:val="28"/>
      <w:szCs w:val="28"/>
      <w:lang w:eastAsia="sk-SK"/>
    </w:rPr>
  </w:style>
  <w:style w:type="paragraph" w:customStyle="1" w:styleId="Podnadpis">
    <w:name w:val="Podnadpis"/>
    <w:basedOn w:val="Normlny"/>
    <w:next w:val="Normlny"/>
    <w:link w:val="PodnadpisChar"/>
    <w:qFormat/>
    <w:rsid w:val="00F75DAA"/>
    <w:pPr>
      <w:jc w:val="center"/>
    </w:pPr>
    <w:rPr>
      <w:rFonts w:eastAsiaTheme="minorHAnsi" w:cstheme="minorBidi"/>
      <w:b/>
      <w:sz w:val="24"/>
      <w:szCs w:val="24"/>
      <w:lang w:eastAsia="en-US"/>
    </w:rPr>
  </w:style>
  <w:style w:type="character" w:customStyle="1" w:styleId="PodnadpisChar">
    <w:name w:val="Podnadpis Char"/>
    <w:basedOn w:val="Predvolenpsmoodseku"/>
    <w:link w:val="Podnadpis"/>
    <w:rsid w:val="00F75DAA"/>
    <w:rPr>
      <w:rFonts w:ascii="Times New Roman" w:hAnsi="Times New Roman"/>
      <w:b/>
      <w:sz w:val="24"/>
      <w:szCs w:val="24"/>
    </w:rPr>
  </w:style>
  <w:style w:type="character" w:customStyle="1" w:styleId="Nadpis1Char">
    <w:name w:val="Nadpis 1 Char"/>
    <w:basedOn w:val="Predvolenpsmoodseku"/>
    <w:link w:val="Nadpis1"/>
    <w:uiPriority w:val="99"/>
    <w:rsid w:val="00E11645"/>
    <w:rPr>
      <w:rFonts w:ascii="Arial" w:eastAsia="Calibri" w:hAnsi="Arial" w:cs="Arial"/>
      <w:b/>
      <w:bCs/>
      <w:kern w:val="32"/>
      <w:sz w:val="32"/>
      <w:szCs w:val="32"/>
    </w:rPr>
  </w:style>
  <w:style w:type="character" w:customStyle="1" w:styleId="Nadpis2Char">
    <w:name w:val="Nadpis 2 Char"/>
    <w:basedOn w:val="Predvolenpsmoodseku"/>
    <w:link w:val="Nadpis2"/>
    <w:uiPriority w:val="99"/>
    <w:rsid w:val="00E11645"/>
    <w:rPr>
      <w:rFonts w:ascii="Arial" w:eastAsia="Calibri" w:hAnsi="Arial" w:cs="Arial"/>
      <w:b/>
      <w:bCs/>
      <w:i/>
      <w:iCs/>
      <w:sz w:val="28"/>
      <w:szCs w:val="28"/>
    </w:rPr>
  </w:style>
  <w:style w:type="character" w:customStyle="1" w:styleId="Nadpis3Char">
    <w:name w:val="Nadpis 3 Char"/>
    <w:basedOn w:val="Predvolenpsmoodseku"/>
    <w:link w:val="Nadpis3"/>
    <w:uiPriority w:val="9"/>
    <w:semiHidden/>
    <w:rsid w:val="001716D3"/>
    <w:rPr>
      <w:rFonts w:asciiTheme="majorHAnsi" w:eastAsiaTheme="majorEastAsia" w:hAnsiTheme="majorHAnsi" w:cstheme="majorBidi"/>
      <w:color w:val="1F4D78" w:themeColor="accent1" w:themeShade="7F"/>
      <w:sz w:val="24"/>
      <w:szCs w:val="24"/>
      <w:lang w:eastAsia="sk-SK"/>
    </w:rPr>
  </w:style>
  <w:style w:type="paragraph" w:styleId="Obsah2">
    <w:name w:val="toc 2"/>
    <w:basedOn w:val="Normlny"/>
    <w:next w:val="Normlny"/>
    <w:autoRedefine/>
    <w:uiPriority w:val="39"/>
    <w:unhideWhenUsed/>
    <w:rsid w:val="00A72C4E"/>
    <w:pPr>
      <w:spacing w:after="100"/>
      <w:ind w:left="200"/>
    </w:pPr>
  </w:style>
  <w:style w:type="character" w:styleId="Hypertextovprepojenie">
    <w:name w:val="Hyperlink"/>
    <w:basedOn w:val="Predvolenpsmoodseku"/>
    <w:uiPriority w:val="99"/>
    <w:unhideWhenUsed/>
    <w:rsid w:val="00A72C4E"/>
    <w:rPr>
      <w:color w:val="0563C1" w:themeColor="hyperlink"/>
      <w:u w:val="single"/>
    </w:rPr>
  </w:style>
  <w:style w:type="paragraph" w:styleId="Obsah1">
    <w:name w:val="toc 1"/>
    <w:basedOn w:val="Normlny"/>
    <w:next w:val="Normlny"/>
    <w:autoRedefine/>
    <w:uiPriority w:val="39"/>
    <w:unhideWhenUsed/>
    <w:rsid w:val="00A72C4E"/>
    <w:pPr>
      <w:tabs>
        <w:tab w:val="right" w:leader="dot" w:pos="9062"/>
      </w:tabs>
      <w:spacing w:after="100"/>
    </w:pPr>
    <w:rPr>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4557">
      <w:bodyDiv w:val="1"/>
      <w:marLeft w:val="0"/>
      <w:marRight w:val="0"/>
      <w:marTop w:val="0"/>
      <w:marBottom w:val="0"/>
      <w:divBdr>
        <w:top w:val="none" w:sz="0" w:space="0" w:color="auto"/>
        <w:left w:val="none" w:sz="0" w:space="0" w:color="auto"/>
        <w:bottom w:val="none" w:sz="0" w:space="0" w:color="auto"/>
        <w:right w:val="none" w:sz="0" w:space="0" w:color="auto"/>
      </w:divBdr>
    </w:div>
    <w:div w:id="1073165531">
      <w:bodyDiv w:val="1"/>
      <w:marLeft w:val="0"/>
      <w:marRight w:val="0"/>
      <w:marTop w:val="0"/>
      <w:marBottom w:val="0"/>
      <w:divBdr>
        <w:top w:val="none" w:sz="0" w:space="0" w:color="auto"/>
        <w:left w:val="none" w:sz="0" w:space="0" w:color="auto"/>
        <w:bottom w:val="none" w:sz="0" w:space="0" w:color="auto"/>
        <w:right w:val="none" w:sz="0" w:space="0" w:color="auto"/>
      </w:divBdr>
    </w:div>
    <w:div w:id="1127627695">
      <w:bodyDiv w:val="1"/>
      <w:marLeft w:val="0"/>
      <w:marRight w:val="0"/>
      <w:marTop w:val="0"/>
      <w:marBottom w:val="0"/>
      <w:divBdr>
        <w:top w:val="none" w:sz="0" w:space="0" w:color="auto"/>
        <w:left w:val="none" w:sz="0" w:space="0" w:color="auto"/>
        <w:bottom w:val="none" w:sz="0" w:space="0" w:color="auto"/>
        <w:right w:val="none" w:sz="0" w:space="0" w:color="auto"/>
      </w:divBdr>
    </w:div>
    <w:div w:id="18263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sjfpsek@minv.sk" TargetMode="Externa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chart" Target="charts/chart2.xml"/><Relationship Id="rId25" Type="http://schemas.openxmlformats.org/officeDocument/2006/relationships/hyperlink" Target="http://www.minv.sk/?financna-policia"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iu.net"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hart" Target="charts/chart6.xml"/><Relationship Id="rId27" Type="http://schemas.openxmlformats.org/officeDocument/2006/relationships/hyperlink" Target="mailto:sjfpnoo@minv.sk" TargetMode="Externa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nternet\Desktop\NOO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H_rok_programu_Microsoft_Excel1.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Internet\Desktop\KPO.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H_rok_programu_Microsoft_Excel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H_rok_programu_Microsoft_Excel3.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H_rok_programu_Microsoft_Excel4.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H_rok_programu_Microsoft_Excel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741337701914776E-2"/>
          <c:y val="9.2394924849640431E-2"/>
          <c:w val="0.60905987422713093"/>
          <c:h val="0.77784094252792391"/>
        </c:manualLayout>
      </c:layout>
      <c:pie3DChart>
        <c:varyColors val="1"/>
        <c:ser>
          <c:idx val="0"/>
          <c:order val="0"/>
          <c:spPr>
            <a:ln w="3175">
              <a:solidFill>
                <a:sysClr val="windowText" lastClr="000000"/>
              </a:solidFill>
            </a:ln>
          </c:spPr>
          <c:dPt>
            <c:idx val="0"/>
            <c:bubble3D val="0"/>
            <c:spPr>
              <a:solidFill>
                <a:srgbClr val="00B0F0"/>
              </a:solidFill>
              <a:ln w="3175">
                <a:solidFill>
                  <a:sysClr val="windowText" lastClr="000000"/>
                </a:solidFill>
              </a:ln>
              <a:effectLst/>
              <a:sp3d contourW="25400">
                <a:contourClr>
                  <a:schemeClr val="lt1"/>
                </a:contourClr>
              </a:sp3d>
            </c:spPr>
          </c:dPt>
          <c:dPt>
            <c:idx val="1"/>
            <c:bubble3D val="0"/>
            <c:spPr>
              <a:solidFill>
                <a:srgbClr val="FF0000"/>
              </a:solidFill>
              <a:ln w="3175">
                <a:solidFill>
                  <a:sysClr val="windowText" lastClr="000000"/>
                </a:solidFill>
              </a:ln>
              <a:effectLst/>
              <a:sp3d contourW="25400">
                <a:contourClr>
                  <a:schemeClr val="lt1"/>
                </a:contourClr>
              </a:sp3d>
            </c:spPr>
          </c:dPt>
          <c:dPt>
            <c:idx val="2"/>
            <c:bubble3D val="0"/>
            <c:spPr>
              <a:solidFill>
                <a:srgbClr val="FFFF00"/>
              </a:solidFill>
              <a:ln w="3175">
                <a:solidFill>
                  <a:sysClr val="windowText" lastClr="000000"/>
                </a:solidFill>
              </a:ln>
              <a:effectLst/>
              <a:sp3d contourW="25400">
                <a:contourClr>
                  <a:schemeClr val="lt1"/>
                </a:contourClr>
              </a:sp3d>
            </c:spPr>
          </c:dPt>
          <c:dLbls>
            <c:spPr>
              <a:noFill/>
              <a:ln>
                <a:noFill/>
              </a:ln>
              <a:effectLst/>
            </c:spPr>
            <c:txPr>
              <a:bodyPr/>
              <a:lstStyle/>
              <a:p>
                <a:pPr>
                  <a:defRPr sz="1050" b="0">
                    <a:latin typeface="+mn-lt"/>
                    <a:cs typeface="Aharoni" panose="02010803020104030203" pitchFamily="2" charset="-79"/>
                  </a:defRPr>
                </a:pPr>
                <a:endParaRPr lang="sk-SK"/>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Hárok1!$A$1:$A$3</c:f>
              <c:strCache>
                <c:ptCount val="3"/>
                <c:pt idx="0">
                  <c:v>Banky </c:v>
                </c:pt>
                <c:pt idx="1">
                  <c:v>Ostatné finančné inštitúcie</c:v>
                </c:pt>
                <c:pt idx="2">
                  <c:v>Nefinančné subjekty </c:v>
                </c:pt>
              </c:strCache>
            </c:strRef>
          </c:cat>
          <c:val>
            <c:numRef>
              <c:f>Hárok1!$B$1:$B$3</c:f>
              <c:numCache>
                <c:formatCode>General</c:formatCode>
                <c:ptCount val="3"/>
                <c:pt idx="0">
                  <c:v>3378</c:v>
                </c:pt>
                <c:pt idx="1">
                  <c:v>395</c:v>
                </c:pt>
                <c:pt idx="2">
                  <c:v>155</c:v>
                </c:pt>
              </c:numCache>
            </c:numRef>
          </c:val>
        </c:ser>
        <c:dLbls>
          <c:dLblPos val="inEnd"/>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0453680706019128"/>
          <c:y val="0.14639254734413804"/>
          <c:w val="0.28204037414786237"/>
          <c:h val="0.77447947930275529"/>
        </c:manualLayout>
      </c:layout>
      <c:overlay val="0"/>
      <c:spPr>
        <a:noFill/>
        <a:ln>
          <a:noFill/>
        </a:ln>
        <a:effectLst/>
      </c:spPr>
      <c:txPr>
        <a:bodyPr rot="0" vert="horz"/>
        <a:lstStyle/>
        <a:p>
          <a:pPr>
            <a:defRPr sz="1000" b="0">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c:spPr>
          <c:invertIfNegative val="0"/>
          <c:dPt>
            <c:idx val="0"/>
            <c:invertIfNegative val="0"/>
            <c:bubble3D val="0"/>
            <c:spPr>
              <a:solidFill>
                <a:srgbClr val="FF0000"/>
              </a:solidFill>
              <a:ln>
                <a:solidFill>
                  <a:schemeClr val="tx1"/>
                </a:solidFill>
              </a:ln>
              <a:effectLst/>
            </c:spPr>
          </c:dPt>
          <c:dPt>
            <c:idx val="1"/>
            <c:invertIfNegative val="0"/>
            <c:bubble3D val="0"/>
            <c:spPr>
              <a:solidFill>
                <a:srgbClr val="002060"/>
              </a:solidFill>
              <a:ln>
                <a:solidFill>
                  <a:schemeClr val="tx1"/>
                </a:solidFill>
              </a:ln>
              <a:effectLst/>
            </c:spPr>
          </c:dPt>
          <c:dPt>
            <c:idx val="2"/>
            <c:invertIfNegative val="0"/>
            <c:bubble3D val="0"/>
            <c:spPr>
              <a:solidFill>
                <a:srgbClr val="FFFF00"/>
              </a:solidFill>
              <a:ln>
                <a:solidFill>
                  <a:schemeClr val="tx1"/>
                </a:solidFill>
              </a:ln>
              <a:effectLst/>
            </c:spPr>
          </c:dPt>
          <c:dPt>
            <c:idx val="3"/>
            <c:invertIfNegative val="0"/>
            <c:bubble3D val="0"/>
            <c:spPr>
              <a:solidFill>
                <a:srgbClr val="7030A0"/>
              </a:solidFill>
              <a:ln>
                <a:solidFill>
                  <a:schemeClr val="tx1"/>
                </a:solidFill>
              </a:ln>
              <a:effectLst/>
            </c:spPr>
          </c:dPt>
          <c:dPt>
            <c:idx val="4"/>
            <c:invertIfNegative val="0"/>
            <c:bubble3D val="0"/>
            <c:spPr>
              <a:solidFill>
                <a:srgbClr val="92D050"/>
              </a:solidFill>
              <a:ln>
                <a:solidFill>
                  <a:schemeClr val="tx1"/>
                </a:solidFill>
              </a:ln>
              <a:effectLst/>
            </c:spPr>
          </c:dPt>
          <c:dPt>
            <c:idx val="5"/>
            <c:invertIfNegative val="0"/>
            <c:bubble3D val="0"/>
            <c:spPr>
              <a:solidFill>
                <a:srgbClr val="00B0F0"/>
              </a:solidFill>
              <a:ln>
                <a:solidFill>
                  <a:schemeClr val="tx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Hárok1!$A$1:$A$6</c:f>
              <c:numCache>
                <c:formatCode>General</c:formatCode>
                <c:ptCount val="6"/>
                <c:pt idx="0">
                  <c:v>2009</c:v>
                </c:pt>
                <c:pt idx="1">
                  <c:v>2010</c:v>
                </c:pt>
                <c:pt idx="2">
                  <c:v>2011</c:v>
                </c:pt>
                <c:pt idx="3">
                  <c:v>2012</c:v>
                </c:pt>
                <c:pt idx="4">
                  <c:v>2013</c:v>
                </c:pt>
                <c:pt idx="5">
                  <c:v>2014</c:v>
                </c:pt>
              </c:numCache>
            </c:numRef>
          </c:cat>
          <c:val>
            <c:numRef>
              <c:f>Hárok1!$B$1:$B$6</c:f>
              <c:numCache>
                <c:formatCode>General</c:formatCode>
                <c:ptCount val="6"/>
                <c:pt idx="0">
                  <c:v>2686</c:v>
                </c:pt>
                <c:pt idx="1">
                  <c:v>2470</c:v>
                </c:pt>
                <c:pt idx="2">
                  <c:v>2982</c:v>
                </c:pt>
                <c:pt idx="3">
                  <c:v>3650</c:v>
                </c:pt>
                <c:pt idx="4">
                  <c:v>3886</c:v>
                </c:pt>
                <c:pt idx="5">
                  <c:v>3928</c:v>
                </c:pt>
              </c:numCache>
            </c:numRef>
          </c:val>
        </c:ser>
        <c:dLbls>
          <c:dLblPos val="outEnd"/>
          <c:showLegendKey val="0"/>
          <c:showVal val="1"/>
          <c:showCatName val="0"/>
          <c:showSerName val="0"/>
          <c:showPercent val="0"/>
          <c:showBubbleSize val="0"/>
        </c:dLbls>
        <c:gapWidth val="100"/>
        <c:overlap val="-24"/>
        <c:axId val="89579824"/>
        <c:axId val="89581000"/>
      </c:barChart>
      <c:catAx>
        <c:axId val="895798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crossAx val="89581000"/>
        <c:crosses val="autoZero"/>
        <c:auto val="1"/>
        <c:lblAlgn val="ctr"/>
        <c:lblOffset val="100"/>
        <c:noMultiLvlLbl val="0"/>
      </c:catAx>
      <c:valAx>
        <c:axId val="895810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crossAx val="89579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solidFill>
                <a:sysClr val="windowText" lastClr="000000"/>
              </a:solidFill>
            </a:ln>
          </c:spPr>
          <c:dPt>
            <c:idx val="0"/>
            <c:bubble3D val="0"/>
            <c:explosion val="9"/>
            <c:spPr>
              <a:solidFill>
                <a:srgbClr val="00B0F0"/>
              </a:solidFill>
              <a:ln>
                <a:solidFill>
                  <a:sysClr val="windowText" lastClr="000000"/>
                </a:solidFill>
              </a:ln>
              <a:effectLst>
                <a:outerShdw blurRad="254000" sx="102000" sy="102000" algn="ctr" rotWithShape="0">
                  <a:prstClr val="black">
                    <a:alpha val="20000"/>
                  </a:prstClr>
                </a:outerShdw>
              </a:effectLst>
              <a:sp3d/>
            </c:spPr>
          </c:dPt>
          <c:dPt>
            <c:idx val="1"/>
            <c:bubble3D val="0"/>
            <c:explosion val="15"/>
            <c:spPr>
              <a:solidFill>
                <a:srgbClr val="FF0000"/>
              </a:solidFill>
              <a:ln>
                <a:solidFill>
                  <a:sysClr val="windowText" lastClr="000000"/>
                </a:solidFill>
              </a:ln>
              <a:effectLst>
                <a:outerShdw blurRad="254000" sx="102000" sy="102000" algn="ctr" rotWithShape="0">
                  <a:prstClr val="black">
                    <a:alpha val="20000"/>
                  </a:prstClr>
                </a:outerShdw>
              </a:effectLst>
              <a:sp3d/>
            </c:spPr>
          </c:dPt>
          <c:dPt>
            <c:idx val="2"/>
            <c:bubble3D val="0"/>
            <c:explosion val="8"/>
            <c:spPr>
              <a:solidFill>
                <a:srgbClr val="FFFF00"/>
              </a:solidFill>
              <a:ln>
                <a:solidFill>
                  <a:sysClr val="windowText" lastClr="000000"/>
                </a:solid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k-SK"/>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Hárok1!$A$1:$A$3</c:f>
              <c:strCache>
                <c:ptCount val="3"/>
                <c:pt idx="0">
                  <c:v>Banky </c:v>
                </c:pt>
                <c:pt idx="1">
                  <c:v>Finančné inštitúcie</c:v>
                </c:pt>
                <c:pt idx="2">
                  <c:v>Nefinančné inštitúcie </c:v>
                </c:pt>
              </c:strCache>
            </c:strRef>
          </c:cat>
          <c:val>
            <c:numRef>
              <c:f>Hárok1!$B$1:$B$3</c:f>
              <c:numCache>
                <c:formatCode>General</c:formatCode>
                <c:ptCount val="3"/>
                <c:pt idx="0">
                  <c:v>1</c:v>
                </c:pt>
                <c:pt idx="1">
                  <c:v>10</c:v>
                </c:pt>
                <c:pt idx="2">
                  <c:v>11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k-SK"/>
        </a:p>
      </c:txPr>
    </c:legend>
    <c:plotVisOnly val="1"/>
    <c:dispBlanksAs val="gap"/>
    <c:showDLblsOverMax val="0"/>
  </c:chart>
  <c:spPr>
    <a:gradFill flip="none" rotWithShape="1">
      <a:gsLst>
        <a:gs pos="0">
          <a:srgbClr val="4472C4">
            <a:lumMod val="40000"/>
            <a:lumOff val="60000"/>
          </a:srgbClr>
        </a:gs>
        <a:gs pos="46000">
          <a:srgbClr val="ED7D31">
            <a:lumMod val="40000"/>
            <a:lumOff val="60000"/>
          </a:srgbClr>
        </a:gs>
        <a:gs pos="100000">
          <a:srgbClr val="ED7D31">
            <a:lumMod val="20000"/>
            <a:lumOff val="80000"/>
          </a:srgbClr>
        </a:gs>
      </a:gsLst>
      <a:path path="circle">
        <a:fillToRect l="100000" t="100000"/>
      </a:path>
      <a:tileRect r="-100000" b="-100000"/>
    </a:gradFill>
    <a:ln w="9525" cap="flat" cmpd="sng" algn="ctr">
      <a:solidFill>
        <a:schemeClr val="dk1">
          <a:lumMod val="25000"/>
          <a:lumOff val="75000"/>
        </a:schemeClr>
      </a:solidFill>
      <a:round/>
    </a:ln>
    <a:effectLst/>
  </c:spPr>
  <c:txPr>
    <a:bodyPr/>
    <a:lstStyle/>
    <a:p>
      <a:pPr>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375289372014335E-2"/>
          <c:y val="4.3539292882507331E-2"/>
          <c:w val="0.90762470577650334"/>
          <c:h val="0.69020503319438009"/>
        </c:manualLayout>
      </c:layout>
      <c:barChart>
        <c:barDir val="col"/>
        <c:grouping val="clustered"/>
        <c:varyColors val="0"/>
        <c:ser>
          <c:idx val="0"/>
          <c:order val="0"/>
          <c:tx>
            <c:strRef>
              <c:f>Hárok1!$B$1</c:f>
              <c:strCache>
                <c:ptCount val="1"/>
                <c:pt idx="0">
                  <c:v>2013</c:v>
                </c:pt>
              </c:strCache>
            </c:strRef>
          </c:tx>
          <c:spPr>
            <a:solidFill>
              <a:srgbClr val="00B050"/>
            </a:solidFill>
          </c:spPr>
          <c:invertIfNegative val="0"/>
          <c:dPt>
            <c:idx val="0"/>
            <c:invertIfNegative val="0"/>
            <c:bubble3D val="0"/>
            <c:spPr>
              <a:solidFill>
                <a:srgbClr val="FFFF00"/>
              </a:solidFill>
              <a:ln w="12695">
                <a:solidFill>
                  <a:schemeClr val="tx1"/>
                </a:solidFill>
              </a:ln>
            </c:spPr>
          </c:dPt>
          <c:dPt>
            <c:idx val="1"/>
            <c:invertIfNegative val="0"/>
            <c:bubble3D val="0"/>
            <c:spPr>
              <a:solidFill>
                <a:srgbClr val="FF0000"/>
              </a:solidFill>
              <a:ln w="12695">
                <a:solidFill>
                  <a:schemeClr val="tx1"/>
                </a:solidFill>
              </a:ln>
            </c:spPr>
          </c:dPt>
          <c:dPt>
            <c:idx val="2"/>
            <c:invertIfNegative val="0"/>
            <c:bubble3D val="0"/>
            <c:spPr>
              <a:solidFill>
                <a:srgbClr val="00B0F0"/>
              </a:solidFill>
              <a:ln w="12695">
                <a:solidFill>
                  <a:schemeClr val="tx1"/>
                </a:solidFill>
              </a:ln>
            </c:spPr>
          </c:dPt>
          <c:dPt>
            <c:idx val="3"/>
            <c:invertIfNegative val="0"/>
            <c:bubble3D val="0"/>
            <c:spPr>
              <a:solidFill>
                <a:srgbClr val="7030A0"/>
              </a:solidFill>
              <a:ln w="12695">
                <a:solidFill>
                  <a:schemeClr val="tx1"/>
                </a:solidFill>
              </a:ln>
            </c:spPr>
          </c:dPt>
          <c:dPt>
            <c:idx val="4"/>
            <c:invertIfNegative val="0"/>
            <c:bubble3D val="0"/>
            <c:spPr>
              <a:solidFill>
                <a:schemeClr val="accent6"/>
              </a:solidFill>
              <a:ln w="12695">
                <a:solidFill>
                  <a:schemeClr val="tx1"/>
                </a:solidFill>
              </a:ln>
            </c:spPr>
          </c:dPt>
          <c:dPt>
            <c:idx val="5"/>
            <c:invertIfNegative val="0"/>
            <c:bubble3D val="0"/>
            <c:spPr>
              <a:solidFill>
                <a:schemeClr val="accent3">
                  <a:lumMod val="75000"/>
                </a:schemeClr>
              </a:solidFill>
              <a:ln w="12695">
                <a:solidFill>
                  <a:schemeClr val="tx1"/>
                </a:solidFill>
              </a:ln>
            </c:spPr>
          </c:dPt>
          <c:dPt>
            <c:idx val="6"/>
            <c:invertIfNegative val="0"/>
            <c:bubble3D val="0"/>
            <c:spPr>
              <a:solidFill>
                <a:schemeClr val="accent2">
                  <a:lumMod val="75000"/>
                </a:schemeClr>
              </a:solidFill>
              <a:ln w="12695">
                <a:solidFill>
                  <a:schemeClr val="tx1"/>
                </a:solidFill>
              </a:ln>
            </c:spPr>
          </c:dPt>
          <c:dPt>
            <c:idx val="7"/>
            <c:invertIfNegative val="0"/>
            <c:bubble3D val="0"/>
            <c:spPr>
              <a:solidFill>
                <a:schemeClr val="tx2">
                  <a:lumMod val="60000"/>
                  <a:lumOff val="40000"/>
                </a:schemeClr>
              </a:solidFill>
              <a:ln w="12695">
                <a:solidFill>
                  <a:schemeClr val="tx1"/>
                </a:solidFill>
              </a:ln>
            </c:spPr>
          </c:dPt>
          <c:dPt>
            <c:idx val="8"/>
            <c:invertIfNegative val="0"/>
            <c:bubble3D val="0"/>
            <c:spPr>
              <a:solidFill>
                <a:srgbClr val="24EEF8"/>
              </a:solidFill>
              <a:ln w="12695">
                <a:solidFill>
                  <a:schemeClr val="tx1"/>
                </a:solidFill>
              </a:ln>
            </c:spPr>
          </c:dPt>
          <c:dPt>
            <c:idx val="9"/>
            <c:invertIfNegative val="0"/>
            <c:bubble3D val="0"/>
            <c:spPr>
              <a:solidFill>
                <a:srgbClr val="E109A3"/>
              </a:solidFill>
              <a:ln w="12695">
                <a:solidFill>
                  <a:schemeClr val="tx1"/>
                </a:solidFill>
              </a:ln>
            </c:spPr>
          </c:dPt>
          <c:dLbls>
            <c:spPr>
              <a:noFill/>
              <a:ln w="2539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Hárok1!$A$2:$A$11</c:f>
              <c:strCache>
                <c:ptCount val="10"/>
                <c:pt idx="0">
                  <c:v>Česká republika</c:v>
                </c:pt>
                <c:pt idx="1">
                  <c:v>Maďarsko</c:v>
                </c:pt>
                <c:pt idx="2">
                  <c:v>Poľsko </c:v>
                </c:pt>
                <c:pt idx="3">
                  <c:v>Taliansko</c:v>
                </c:pt>
                <c:pt idx="4">
                  <c:v>Lotyšsko</c:v>
                </c:pt>
                <c:pt idx="5">
                  <c:v>Nemecko</c:v>
                </c:pt>
                <c:pt idx="6">
                  <c:v>USA</c:v>
                </c:pt>
                <c:pt idx="7">
                  <c:v>Francúzsko</c:v>
                </c:pt>
                <c:pt idx="8">
                  <c:v>Rakúsko</c:v>
                </c:pt>
                <c:pt idx="9">
                  <c:v>Chorvátsko</c:v>
                </c:pt>
              </c:strCache>
            </c:strRef>
          </c:cat>
          <c:val>
            <c:numRef>
              <c:f>Hárok1!$B$2:$B$11</c:f>
              <c:numCache>
                <c:formatCode>General</c:formatCode>
                <c:ptCount val="10"/>
                <c:pt idx="0">
                  <c:v>78</c:v>
                </c:pt>
                <c:pt idx="1">
                  <c:v>75</c:v>
                </c:pt>
                <c:pt idx="2">
                  <c:v>12</c:v>
                </c:pt>
                <c:pt idx="3">
                  <c:v>10</c:v>
                </c:pt>
                <c:pt idx="4">
                  <c:v>9</c:v>
                </c:pt>
                <c:pt idx="5">
                  <c:v>8</c:v>
                </c:pt>
                <c:pt idx="6">
                  <c:v>8</c:v>
                </c:pt>
                <c:pt idx="7">
                  <c:v>8</c:v>
                </c:pt>
                <c:pt idx="8">
                  <c:v>7</c:v>
                </c:pt>
                <c:pt idx="9">
                  <c:v>6</c:v>
                </c:pt>
              </c:numCache>
            </c:numRef>
          </c:val>
        </c:ser>
        <c:dLbls>
          <c:showLegendKey val="0"/>
          <c:showVal val="0"/>
          <c:showCatName val="0"/>
          <c:showSerName val="0"/>
          <c:showPercent val="0"/>
          <c:showBubbleSize val="0"/>
        </c:dLbls>
        <c:gapWidth val="150"/>
        <c:axId val="92700624"/>
        <c:axId val="92701016"/>
      </c:barChart>
      <c:catAx>
        <c:axId val="92700624"/>
        <c:scaling>
          <c:orientation val="minMax"/>
        </c:scaling>
        <c:delete val="0"/>
        <c:axPos val="b"/>
        <c:numFmt formatCode="General" sourceLinked="1"/>
        <c:majorTickMark val="out"/>
        <c:minorTickMark val="none"/>
        <c:tickLblPos val="nextTo"/>
        <c:txPr>
          <a:bodyPr/>
          <a:lstStyle/>
          <a:p>
            <a:pPr>
              <a:defRPr b="1"/>
            </a:pPr>
            <a:endParaRPr lang="sk-SK"/>
          </a:p>
        </c:txPr>
        <c:crossAx val="92701016"/>
        <c:crosses val="autoZero"/>
        <c:auto val="1"/>
        <c:lblAlgn val="ctr"/>
        <c:lblOffset val="100"/>
        <c:noMultiLvlLbl val="0"/>
      </c:catAx>
      <c:valAx>
        <c:axId val="92701016"/>
        <c:scaling>
          <c:orientation val="minMax"/>
        </c:scaling>
        <c:delete val="0"/>
        <c:axPos val="l"/>
        <c:majorGridlines/>
        <c:numFmt formatCode="General" sourceLinked="1"/>
        <c:majorTickMark val="out"/>
        <c:minorTickMark val="none"/>
        <c:tickLblPos val="nextTo"/>
        <c:crossAx val="92700624"/>
        <c:crosses val="autoZero"/>
        <c:crossBetween val="between"/>
      </c:valAx>
      <c:spPr>
        <a:noFill/>
        <a:ln w="25390">
          <a:noFill/>
        </a:ln>
      </c:spPr>
    </c:plotArea>
    <c:plotVisOnly val="1"/>
    <c:dispBlanksAs val="gap"/>
    <c:showDLblsOverMax val="0"/>
  </c:chart>
  <c:spPr>
    <a:gradFill>
      <a:gsLst>
        <a:gs pos="0">
          <a:srgbClr val="4472C4">
            <a:lumMod val="40000"/>
            <a:lumOff val="60000"/>
          </a:srgbClr>
        </a:gs>
        <a:gs pos="46000">
          <a:srgbClr val="ED7D31">
            <a:lumMod val="40000"/>
            <a:lumOff val="60000"/>
          </a:srgbClr>
        </a:gs>
        <a:gs pos="100000">
          <a:srgbClr val="ED7D31">
            <a:lumMod val="20000"/>
            <a:lumOff val="80000"/>
          </a:srgbClr>
        </a:gs>
      </a:gsLst>
      <a:path path="circle">
        <a:fillToRect l="100000" t="100000"/>
      </a:path>
    </a:gradFill>
    <a:ln w="25390">
      <a:solidFill>
        <a:schemeClr val="bg1">
          <a:lumMod val="50000"/>
        </a:schemeClr>
      </a:solidFill>
    </a:ln>
  </c:spPr>
  <c:txPr>
    <a:bodyPr/>
    <a:lstStyle/>
    <a:p>
      <a:pPr>
        <a:defRPr i="0"/>
      </a:pPr>
      <a:endParaRPr lang="sk-S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121101482426427E-2"/>
          <c:y val="6.3445577295733233E-2"/>
          <c:w val="0.90796456388887259"/>
          <c:h val="0.68199278712320055"/>
        </c:manualLayout>
      </c:layout>
      <c:barChart>
        <c:barDir val="col"/>
        <c:grouping val="clustered"/>
        <c:varyColors val="0"/>
        <c:ser>
          <c:idx val="0"/>
          <c:order val="0"/>
          <c:tx>
            <c:strRef>
              <c:f>Hárok1!$B$1</c:f>
              <c:strCache>
                <c:ptCount val="1"/>
                <c:pt idx="0">
                  <c:v>2013</c:v>
                </c:pt>
              </c:strCache>
            </c:strRef>
          </c:tx>
          <c:spPr>
            <a:solidFill>
              <a:srgbClr val="00B050"/>
            </a:solidFill>
          </c:spPr>
          <c:invertIfNegative val="0"/>
          <c:dPt>
            <c:idx val="0"/>
            <c:invertIfNegative val="0"/>
            <c:bubble3D val="0"/>
            <c:spPr>
              <a:solidFill>
                <a:schemeClr val="accent2">
                  <a:lumMod val="75000"/>
                </a:schemeClr>
              </a:solidFill>
              <a:ln w="12698">
                <a:solidFill>
                  <a:schemeClr val="tx1"/>
                </a:solidFill>
              </a:ln>
            </c:spPr>
          </c:dPt>
          <c:dPt>
            <c:idx val="1"/>
            <c:invertIfNegative val="0"/>
            <c:bubble3D val="0"/>
            <c:spPr>
              <a:solidFill>
                <a:schemeClr val="accent6">
                  <a:lumMod val="75000"/>
                </a:schemeClr>
              </a:solidFill>
              <a:ln w="12698">
                <a:solidFill>
                  <a:schemeClr val="tx1"/>
                </a:solidFill>
              </a:ln>
            </c:spPr>
          </c:dPt>
          <c:dPt>
            <c:idx val="2"/>
            <c:invertIfNegative val="0"/>
            <c:bubble3D val="0"/>
            <c:spPr>
              <a:solidFill>
                <a:schemeClr val="bg2">
                  <a:lumMod val="25000"/>
                </a:schemeClr>
              </a:solidFill>
              <a:ln w="12698">
                <a:solidFill>
                  <a:schemeClr val="tx1"/>
                </a:solidFill>
              </a:ln>
            </c:spPr>
          </c:dPt>
          <c:dPt>
            <c:idx val="3"/>
            <c:invertIfNegative val="0"/>
            <c:bubble3D val="0"/>
            <c:spPr>
              <a:solidFill>
                <a:schemeClr val="accent5">
                  <a:lumMod val="75000"/>
                </a:schemeClr>
              </a:solidFill>
              <a:ln w="12698">
                <a:solidFill>
                  <a:schemeClr val="tx1"/>
                </a:solidFill>
              </a:ln>
            </c:spPr>
          </c:dPt>
          <c:dPt>
            <c:idx val="4"/>
            <c:invertIfNegative val="0"/>
            <c:bubble3D val="0"/>
            <c:spPr>
              <a:solidFill>
                <a:srgbClr val="00B050"/>
              </a:solidFill>
              <a:ln w="12698">
                <a:solidFill>
                  <a:schemeClr val="tx1"/>
                </a:solidFill>
              </a:ln>
            </c:spPr>
          </c:dPt>
          <c:dPt>
            <c:idx val="5"/>
            <c:invertIfNegative val="0"/>
            <c:bubble3D val="0"/>
            <c:spPr>
              <a:solidFill>
                <a:schemeClr val="accent1">
                  <a:lumMod val="60000"/>
                  <a:lumOff val="40000"/>
                </a:schemeClr>
              </a:solidFill>
              <a:ln w="12698">
                <a:solidFill>
                  <a:schemeClr val="tx1"/>
                </a:solidFill>
              </a:ln>
            </c:spPr>
          </c:dPt>
          <c:dPt>
            <c:idx val="6"/>
            <c:invertIfNegative val="0"/>
            <c:bubble3D val="0"/>
            <c:spPr>
              <a:solidFill>
                <a:srgbClr val="CFC10F"/>
              </a:solidFill>
              <a:ln w="12698">
                <a:solidFill>
                  <a:schemeClr val="tx1"/>
                </a:solidFill>
              </a:ln>
            </c:spPr>
          </c:dPt>
          <c:dPt>
            <c:idx val="7"/>
            <c:invertIfNegative val="0"/>
            <c:bubble3D val="0"/>
            <c:spPr>
              <a:solidFill>
                <a:schemeClr val="accent6"/>
              </a:solidFill>
              <a:ln w="12698">
                <a:solidFill>
                  <a:schemeClr val="tx1"/>
                </a:solidFill>
              </a:ln>
            </c:spPr>
          </c:dPt>
          <c:dPt>
            <c:idx val="8"/>
            <c:invertIfNegative val="0"/>
            <c:bubble3D val="0"/>
            <c:spPr>
              <a:solidFill>
                <a:srgbClr val="FF0000"/>
              </a:solidFill>
              <a:ln w="12698">
                <a:solidFill>
                  <a:schemeClr val="tx1"/>
                </a:solidFill>
              </a:ln>
            </c:spPr>
          </c:dPt>
          <c:dPt>
            <c:idx val="9"/>
            <c:invertIfNegative val="0"/>
            <c:bubble3D val="0"/>
            <c:spPr>
              <a:solidFill>
                <a:schemeClr val="accent3">
                  <a:lumMod val="75000"/>
                </a:schemeClr>
              </a:solidFill>
              <a:ln w="12698">
                <a:solidFill>
                  <a:schemeClr val="tx1"/>
                </a:solidFill>
              </a:ln>
            </c:spPr>
          </c:dPt>
          <c:dLbls>
            <c:spPr>
              <a:noFill/>
              <a:ln w="25397">
                <a:noFill/>
              </a:ln>
            </c:spPr>
            <c:txPr>
              <a:bodyPr/>
              <a:lstStyle/>
              <a:p>
                <a:pPr>
                  <a:defRPr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Hárok1!$A$2:$A$11</c:f>
              <c:strCache>
                <c:ptCount val="10"/>
                <c:pt idx="0">
                  <c:v>Nemecko</c:v>
                </c:pt>
                <c:pt idx="1">
                  <c:v>Česká republika </c:v>
                </c:pt>
                <c:pt idx="2">
                  <c:v>Maďarsko </c:v>
                </c:pt>
                <c:pt idx="3">
                  <c:v>Francúzsko</c:v>
                </c:pt>
                <c:pt idx="4">
                  <c:v>Poľsko</c:v>
                </c:pt>
                <c:pt idx="5">
                  <c:v>Veľká Británia</c:v>
                </c:pt>
                <c:pt idx="6">
                  <c:v>Španielsko</c:v>
                </c:pt>
                <c:pt idx="7">
                  <c:v>USA</c:v>
                </c:pt>
                <c:pt idx="8">
                  <c:v>Bulharsko</c:v>
                </c:pt>
                <c:pt idx="9">
                  <c:v>Taliansko</c:v>
                </c:pt>
              </c:strCache>
            </c:strRef>
          </c:cat>
          <c:val>
            <c:numRef>
              <c:f>Hárok1!$B$2:$B$11</c:f>
              <c:numCache>
                <c:formatCode>General</c:formatCode>
                <c:ptCount val="10"/>
                <c:pt idx="0">
                  <c:v>177</c:v>
                </c:pt>
                <c:pt idx="1">
                  <c:v>26</c:v>
                </c:pt>
                <c:pt idx="2">
                  <c:v>14</c:v>
                </c:pt>
                <c:pt idx="3">
                  <c:v>12</c:v>
                </c:pt>
                <c:pt idx="4">
                  <c:v>11</c:v>
                </c:pt>
                <c:pt idx="5">
                  <c:v>10</c:v>
                </c:pt>
                <c:pt idx="6">
                  <c:v>7</c:v>
                </c:pt>
                <c:pt idx="7">
                  <c:v>7</c:v>
                </c:pt>
                <c:pt idx="8">
                  <c:v>6</c:v>
                </c:pt>
                <c:pt idx="9">
                  <c:v>6</c:v>
                </c:pt>
              </c:numCache>
            </c:numRef>
          </c:val>
        </c:ser>
        <c:dLbls>
          <c:showLegendKey val="0"/>
          <c:showVal val="0"/>
          <c:showCatName val="0"/>
          <c:showSerName val="0"/>
          <c:showPercent val="0"/>
          <c:showBubbleSize val="0"/>
        </c:dLbls>
        <c:gapWidth val="150"/>
        <c:axId val="153456240"/>
        <c:axId val="153456632"/>
      </c:barChart>
      <c:catAx>
        <c:axId val="153456240"/>
        <c:scaling>
          <c:orientation val="minMax"/>
        </c:scaling>
        <c:delete val="0"/>
        <c:axPos val="b"/>
        <c:numFmt formatCode="General" sourceLinked="1"/>
        <c:majorTickMark val="out"/>
        <c:minorTickMark val="none"/>
        <c:tickLblPos val="nextTo"/>
        <c:txPr>
          <a:bodyPr/>
          <a:lstStyle/>
          <a:p>
            <a:pPr>
              <a:defRPr sz="900" b="1"/>
            </a:pPr>
            <a:endParaRPr lang="sk-SK"/>
          </a:p>
        </c:txPr>
        <c:crossAx val="153456632"/>
        <c:crosses val="autoZero"/>
        <c:auto val="1"/>
        <c:lblAlgn val="ctr"/>
        <c:lblOffset val="100"/>
        <c:noMultiLvlLbl val="0"/>
      </c:catAx>
      <c:valAx>
        <c:axId val="153456632"/>
        <c:scaling>
          <c:orientation val="minMax"/>
        </c:scaling>
        <c:delete val="0"/>
        <c:axPos val="l"/>
        <c:majorGridlines/>
        <c:numFmt formatCode="General" sourceLinked="1"/>
        <c:majorTickMark val="out"/>
        <c:minorTickMark val="none"/>
        <c:tickLblPos val="nextTo"/>
        <c:crossAx val="153456240"/>
        <c:crosses val="autoZero"/>
        <c:crossBetween val="between"/>
      </c:valAx>
      <c:spPr>
        <a:noFill/>
        <a:ln w="25397">
          <a:noFill/>
        </a:ln>
      </c:spPr>
    </c:plotArea>
    <c:plotVisOnly val="1"/>
    <c:dispBlanksAs val="gap"/>
    <c:showDLblsOverMax val="0"/>
  </c:chart>
  <c:spPr>
    <a:gradFill>
      <a:gsLst>
        <a:gs pos="0">
          <a:srgbClr val="4472C4">
            <a:lumMod val="40000"/>
            <a:lumOff val="60000"/>
          </a:srgbClr>
        </a:gs>
        <a:gs pos="46000">
          <a:srgbClr val="ED7D31">
            <a:lumMod val="40000"/>
            <a:lumOff val="60000"/>
          </a:srgbClr>
        </a:gs>
        <a:gs pos="100000">
          <a:srgbClr val="ED7D31">
            <a:lumMod val="20000"/>
            <a:lumOff val="80000"/>
          </a:srgbClr>
        </a:gs>
      </a:gsLst>
      <a:path path="circle">
        <a:fillToRect l="100000" t="100000"/>
      </a:path>
    </a:gradFill>
    <a:ln w="25397">
      <a:solidFill>
        <a:schemeClr val="bg1">
          <a:lumMod val="50000"/>
        </a:schemeClr>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689661441688984E-2"/>
          <c:y val="6.3858127637188261E-2"/>
          <c:w val="0.91435038579745143"/>
          <c:h val="0.69958113455114834"/>
        </c:manualLayout>
      </c:layout>
      <c:barChart>
        <c:barDir val="col"/>
        <c:grouping val="clustered"/>
        <c:varyColors val="0"/>
        <c:ser>
          <c:idx val="0"/>
          <c:order val="0"/>
          <c:tx>
            <c:strRef>
              <c:f>Hárok1!$B$1</c:f>
              <c:strCache>
                <c:ptCount val="1"/>
                <c:pt idx="0">
                  <c:v>2014</c:v>
                </c:pt>
              </c:strCache>
            </c:strRef>
          </c:tx>
          <c:spPr>
            <a:solidFill>
              <a:srgbClr val="00B050"/>
            </a:solidFill>
          </c:spPr>
          <c:invertIfNegative val="0"/>
          <c:dPt>
            <c:idx val="0"/>
            <c:invertIfNegative val="0"/>
            <c:bubble3D val="0"/>
            <c:spPr>
              <a:solidFill>
                <a:schemeClr val="accent5">
                  <a:lumMod val="75000"/>
                </a:schemeClr>
              </a:solidFill>
              <a:ln w="12561">
                <a:solidFill>
                  <a:schemeClr val="tx1"/>
                </a:solidFill>
              </a:ln>
            </c:spPr>
          </c:dPt>
          <c:dPt>
            <c:idx val="1"/>
            <c:invertIfNegative val="0"/>
            <c:bubble3D val="0"/>
            <c:spPr>
              <a:solidFill>
                <a:schemeClr val="accent6">
                  <a:lumMod val="75000"/>
                </a:schemeClr>
              </a:solidFill>
              <a:ln w="12561">
                <a:solidFill>
                  <a:schemeClr val="tx1"/>
                </a:solidFill>
              </a:ln>
            </c:spPr>
          </c:dPt>
          <c:dPt>
            <c:idx val="2"/>
            <c:invertIfNegative val="0"/>
            <c:bubble3D val="0"/>
            <c:spPr>
              <a:solidFill>
                <a:srgbClr val="E109A3"/>
              </a:solidFill>
              <a:ln w="12561">
                <a:solidFill>
                  <a:schemeClr val="tx1"/>
                </a:solidFill>
              </a:ln>
            </c:spPr>
          </c:dPt>
          <c:dPt>
            <c:idx val="3"/>
            <c:invertIfNegative val="0"/>
            <c:bubble3D val="0"/>
            <c:spPr>
              <a:solidFill>
                <a:srgbClr val="00B050"/>
              </a:solidFill>
              <a:ln w="12561">
                <a:solidFill>
                  <a:schemeClr val="tx1"/>
                </a:solidFill>
              </a:ln>
            </c:spPr>
          </c:dPt>
          <c:dPt>
            <c:idx val="4"/>
            <c:invertIfNegative val="0"/>
            <c:bubble3D val="0"/>
            <c:spPr>
              <a:solidFill>
                <a:srgbClr val="FFFF00"/>
              </a:solidFill>
              <a:ln w="12561">
                <a:solidFill>
                  <a:schemeClr val="tx1"/>
                </a:solidFill>
              </a:ln>
            </c:spPr>
          </c:dPt>
          <c:dPt>
            <c:idx val="5"/>
            <c:invertIfNegative val="0"/>
            <c:bubble3D val="0"/>
            <c:spPr>
              <a:solidFill>
                <a:schemeClr val="tx1">
                  <a:lumMod val="50000"/>
                  <a:lumOff val="50000"/>
                </a:schemeClr>
              </a:solidFill>
              <a:ln w="12561">
                <a:solidFill>
                  <a:schemeClr val="tx1"/>
                </a:solidFill>
              </a:ln>
            </c:spPr>
          </c:dPt>
          <c:dPt>
            <c:idx val="6"/>
            <c:invertIfNegative val="0"/>
            <c:bubble3D val="0"/>
            <c:spPr>
              <a:solidFill>
                <a:srgbClr val="FF0000"/>
              </a:solidFill>
              <a:ln w="12561">
                <a:solidFill>
                  <a:schemeClr val="tx1"/>
                </a:solidFill>
              </a:ln>
            </c:spPr>
          </c:dPt>
          <c:dPt>
            <c:idx val="7"/>
            <c:invertIfNegative val="0"/>
            <c:bubble3D val="0"/>
            <c:spPr>
              <a:solidFill>
                <a:schemeClr val="accent2">
                  <a:lumMod val="75000"/>
                </a:schemeClr>
              </a:solidFill>
              <a:ln w="12561">
                <a:solidFill>
                  <a:schemeClr val="tx1"/>
                </a:solidFill>
              </a:ln>
            </c:spPr>
          </c:dPt>
          <c:dPt>
            <c:idx val="8"/>
            <c:invertIfNegative val="0"/>
            <c:bubble3D val="0"/>
            <c:spPr>
              <a:solidFill>
                <a:schemeClr val="tx2">
                  <a:lumMod val="60000"/>
                  <a:lumOff val="40000"/>
                </a:schemeClr>
              </a:solidFill>
              <a:ln w="12561">
                <a:solidFill>
                  <a:schemeClr val="tx1"/>
                </a:solidFill>
              </a:ln>
            </c:spPr>
          </c:dPt>
          <c:dLbls>
            <c:spPr>
              <a:noFill/>
              <a:ln w="25121">
                <a:noFill/>
              </a:ln>
            </c:spPr>
            <c:txPr>
              <a:bodyPr/>
              <a:lstStyle/>
              <a:p>
                <a:pPr>
                  <a:defRPr b="1"/>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Hárok1!$A$2:$A$11</c:f>
              <c:strCache>
                <c:ptCount val="10"/>
                <c:pt idx="0">
                  <c:v>Maďarsko</c:v>
                </c:pt>
                <c:pt idx="1">
                  <c:v>Česká republika</c:v>
                </c:pt>
                <c:pt idx="2">
                  <c:v>Poľsko</c:v>
                </c:pt>
                <c:pt idx="3">
                  <c:v>Taliansko</c:v>
                </c:pt>
                <c:pt idx="4">
                  <c:v>Ukrajina</c:v>
                </c:pt>
                <c:pt idx="5">
                  <c:v>Rumunsko</c:v>
                </c:pt>
                <c:pt idx="6">
                  <c:v>Nemecko</c:v>
                </c:pt>
                <c:pt idx="7">
                  <c:v>Veľká Británia</c:v>
                </c:pt>
                <c:pt idx="8">
                  <c:v>Rusko</c:v>
                </c:pt>
                <c:pt idx="9">
                  <c:v>Bulharsko</c:v>
                </c:pt>
              </c:strCache>
            </c:strRef>
          </c:cat>
          <c:val>
            <c:numRef>
              <c:f>Hárok1!$B$2:$B$11</c:f>
              <c:numCache>
                <c:formatCode>General</c:formatCode>
                <c:ptCount val="10"/>
                <c:pt idx="0">
                  <c:v>187</c:v>
                </c:pt>
                <c:pt idx="1">
                  <c:v>112</c:v>
                </c:pt>
                <c:pt idx="2">
                  <c:v>18</c:v>
                </c:pt>
                <c:pt idx="3">
                  <c:v>10</c:v>
                </c:pt>
                <c:pt idx="4">
                  <c:v>10</c:v>
                </c:pt>
                <c:pt idx="5">
                  <c:v>8</c:v>
                </c:pt>
                <c:pt idx="6">
                  <c:v>8</c:v>
                </c:pt>
                <c:pt idx="7">
                  <c:v>8</c:v>
                </c:pt>
                <c:pt idx="8">
                  <c:v>8</c:v>
                </c:pt>
                <c:pt idx="9">
                  <c:v>7</c:v>
                </c:pt>
              </c:numCache>
            </c:numRef>
          </c:val>
        </c:ser>
        <c:dLbls>
          <c:showLegendKey val="0"/>
          <c:showVal val="0"/>
          <c:showCatName val="0"/>
          <c:showSerName val="0"/>
          <c:showPercent val="0"/>
          <c:showBubbleSize val="0"/>
        </c:dLbls>
        <c:gapWidth val="150"/>
        <c:axId val="153457416"/>
        <c:axId val="153457808"/>
      </c:barChart>
      <c:catAx>
        <c:axId val="153457416"/>
        <c:scaling>
          <c:orientation val="minMax"/>
        </c:scaling>
        <c:delete val="0"/>
        <c:axPos val="b"/>
        <c:numFmt formatCode="General" sourceLinked="1"/>
        <c:majorTickMark val="out"/>
        <c:minorTickMark val="none"/>
        <c:tickLblPos val="nextTo"/>
        <c:txPr>
          <a:bodyPr/>
          <a:lstStyle/>
          <a:p>
            <a:pPr>
              <a:defRPr sz="1000" b="1"/>
            </a:pPr>
            <a:endParaRPr lang="sk-SK"/>
          </a:p>
        </c:txPr>
        <c:crossAx val="153457808"/>
        <c:crosses val="autoZero"/>
        <c:auto val="1"/>
        <c:lblAlgn val="ctr"/>
        <c:lblOffset val="100"/>
        <c:noMultiLvlLbl val="0"/>
      </c:catAx>
      <c:valAx>
        <c:axId val="153457808"/>
        <c:scaling>
          <c:orientation val="minMax"/>
        </c:scaling>
        <c:delete val="0"/>
        <c:axPos val="l"/>
        <c:majorGridlines/>
        <c:numFmt formatCode="General" sourceLinked="1"/>
        <c:majorTickMark val="out"/>
        <c:minorTickMark val="none"/>
        <c:tickLblPos val="nextTo"/>
        <c:crossAx val="153457416"/>
        <c:crosses val="autoZero"/>
        <c:crossBetween val="between"/>
      </c:valAx>
      <c:spPr>
        <a:noFill/>
        <a:ln w="25121">
          <a:noFill/>
        </a:ln>
      </c:spPr>
    </c:plotArea>
    <c:plotVisOnly val="1"/>
    <c:dispBlanksAs val="gap"/>
    <c:showDLblsOverMax val="0"/>
  </c:chart>
  <c:spPr>
    <a:gradFill>
      <a:gsLst>
        <a:gs pos="0">
          <a:srgbClr val="4472C4">
            <a:lumMod val="40000"/>
            <a:lumOff val="60000"/>
          </a:srgbClr>
        </a:gs>
        <a:gs pos="46000">
          <a:srgbClr val="ED7D31">
            <a:lumMod val="40000"/>
            <a:lumOff val="60000"/>
          </a:srgbClr>
        </a:gs>
        <a:gs pos="100000">
          <a:srgbClr val="ED7D31">
            <a:lumMod val="20000"/>
            <a:lumOff val="80000"/>
          </a:srgbClr>
        </a:gs>
      </a:gsLst>
      <a:path path="circle">
        <a:fillToRect l="100000" t="100000"/>
      </a:path>
    </a:gradFill>
    <a:ln w="25121">
      <a:solidFill>
        <a:schemeClr val="bg1">
          <a:lumMod val="50000"/>
        </a:schemeClr>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42625400991544"/>
          <c:y val="0.11806555430571179"/>
          <c:w val="0.80665242504456491"/>
          <c:h val="0.78252312210973629"/>
        </c:manualLayout>
      </c:layout>
      <c:barChart>
        <c:barDir val="col"/>
        <c:grouping val="clustered"/>
        <c:varyColors val="0"/>
        <c:ser>
          <c:idx val="0"/>
          <c:order val="0"/>
          <c:tx>
            <c:strRef>
              <c:f>Hárok1!$B$1</c:f>
              <c:strCache>
                <c:ptCount val="1"/>
                <c:pt idx="0">
                  <c:v>VÝŠKA PREPRAVOVANÝCH PEŇAŽNÝCH PROSTRIEDKOV</c:v>
                </c:pt>
              </c:strCache>
            </c:strRef>
          </c:tx>
          <c:spPr>
            <a:solidFill>
              <a:srgbClr val="FFFF00"/>
            </a:solidFill>
            <a:ln>
              <a:solidFill>
                <a:schemeClr val="tx1"/>
              </a:solidFill>
            </a:ln>
          </c:spPr>
          <c:invertIfNegative val="0"/>
          <c:dPt>
            <c:idx val="0"/>
            <c:invertIfNegative val="0"/>
            <c:bubble3D val="0"/>
            <c:spPr>
              <a:solidFill>
                <a:srgbClr val="FF0000"/>
              </a:solidFill>
              <a:ln>
                <a:solidFill>
                  <a:schemeClr val="tx1"/>
                </a:solidFill>
              </a:ln>
            </c:spPr>
          </c:dPt>
          <c:dPt>
            <c:idx val="1"/>
            <c:invertIfNegative val="0"/>
            <c:bubble3D val="0"/>
            <c:spPr>
              <a:solidFill>
                <a:srgbClr val="00B0F0"/>
              </a:solidFill>
              <a:ln>
                <a:solidFill>
                  <a:schemeClr val="tx1"/>
                </a:solidFill>
              </a:ln>
            </c:spPr>
          </c:dPt>
          <c:dPt>
            <c:idx val="3"/>
            <c:invertIfNegative val="0"/>
            <c:bubble3D val="0"/>
            <c:spPr>
              <a:solidFill>
                <a:srgbClr val="B80EA4"/>
              </a:solidFill>
              <a:ln>
                <a:solidFill>
                  <a:schemeClr val="tx1"/>
                </a:solidFill>
              </a:ln>
            </c:spPr>
          </c:dPt>
          <c:dPt>
            <c:idx val="4"/>
            <c:invertIfNegative val="0"/>
            <c:bubble3D val="0"/>
            <c:spPr>
              <a:solidFill>
                <a:srgbClr val="92D050"/>
              </a:solidFill>
              <a:ln>
                <a:solidFill>
                  <a:schemeClr val="tx1"/>
                </a:solidFill>
              </a:ln>
            </c:spPr>
          </c:dPt>
          <c:dLbls>
            <c:spPr>
              <a:noFill/>
              <a:ln w="19041">
                <a:noFill/>
              </a:ln>
            </c:spPr>
            <c:txPr>
              <a:bodyPr/>
              <a:lstStyle/>
              <a:p>
                <a:pPr>
                  <a:defRPr sz="900" b="1">
                    <a:solidFill>
                      <a:sysClr val="windowText" lastClr="000000"/>
                    </a:solidFill>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Hárok1!$A$2:$A$7</c:f>
              <c:numCache>
                <c:formatCode>General</c:formatCode>
                <c:ptCount val="6"/>
                <c:pt idx="0">
                  <c:v>2009</c:v>
                </c:pt>
                <c:pt idx="1">
                  <c:v>2010</c:v>
                </c:pt>
                <c:pt idx="2">
                  <c:v>2011</c:v>
                </c:pt>
                <c:pt idx="3">
                  <c:v>2012</c:v>
                </c:pt>
                <c:pt idx="4">
                  <c:v>2013</c:v>
                </c:pt>
                <c:pt idx="5">
                  <c:v>2014</c:v>
                </c:pt>
              </c:numCache>
            </c:numRef>
          </c:cat>
          <c:val>
            <c:numRef>
              <c:f>Hárok1!$B$2:$B$7</c:f>
              <c:numCache>
                <c:formatCode>General</c:formatCode>
                <c:ptCount val="6"/>
                <c:pt idx="0">
                  <c:v>125400</c:v>
                </c:pt>
                <c:pt idx="1">
                  <c:v>1241178</c:v>
                </c:pt>
                <c:pt idx="2">
                  <c:v>312637</c:v>
                </c:pt>
                <c:pt idx="3">
                  <c:v>1649419.38</c:v>
                </c:pt>
                <c:pt idx="4">
                  <c:v>1422131.86</c:v>
                </c:pt>
                <c:pt idx="5">
                  <c:v>1764189.93</c:v>
                </c:pt>
              </c:numCache>
            </c:numRef>
          </c:val>
        </c:ser>
        <c:dLbls>
          <c:showLegendKey val="0"/>
          <c:showVal val="0"/>
          <c:showCatName val="0"/>
          <c:showSerName val="0"/>
          <c:showPercent val="0"/>
          <c:showBubbleSize val="0"/>
        </c:dLbls>
        <c:gapWidth val="150"/>
        <c:axId val="153458592"/>
        <c:axId val="153458984"/>
      </c:barChart>
      <c:catAx>
        <c:axId val="153458592"/>
        <c:scaling>
          <c:orientation val="minMax"/>
        </c:scaling>
        <c:delete val="0"/>
        <c:axPos val="b"/>
        <c:numFmt formatCode="General" sourceLinked="1"/>
        <c:majorTickMark val="out"/>
        <c:minorTickMark val="none"/>
        <c:tickLblPos val="nextTo"/>
        <c:txPr>
          <a:bodyPr/>
          <a:lstStyle/>
          <a:p>
            <a:pPr>
              <a:defRPr b="1"/>
            </a:pPr>
            <a:endParaRPr lang="sk-SK"/>
          </a:p>
        </c:txPr>
        <c:crossAx val="153458984"/>
        <c:crosses val="autoZero"/>
        <c:auto val="1"/>
        <c:lblAlgn val="ctr"/>
        <c:lblOffset val="100"/>
        <c:noMultiLvlLbl val="0"/>
      </c:catAx>
      <c:valAx>
        <c:axId val="153458984"/>
        <c:scaling>
          <c:orientation val="minMax"/>
        </c:scaling>
        <c:delete val="0"/>
        <c:axPos val="l"/>
        <c:majorGridlines/>
        <c:numFmt formatCode="General" sourceLinked="1"/>
        <c:majorTickMark val="out"/>
        <c:minorTickMark val="none"/>
        <c:tickLblPos val="nextTo"/>
        <c:crossAx val="153458592"/>
        <c:crosses val="autoZero"/>
        <c:crossBetween val="between"/>
      </c:valAx>
      <c:spPr>
        <a:noFill/>
        <a:ln w="19041">
          <a:noFill/>
        </a:ln>
      </c:spPr>
    </c:plotArea>
    <c:plotVisOnly val="1"/>
    <c:dispBlanksAs val="gap"/>
    <c:showDLblsOverMax val="0"/>
  </c:chart>
  <c:spPr>
    <a:noFill/>
    <a:ln w="19041">
      <a:solidFill>
        <a:schemeClr val="bg1">
          <a:lumMod val="95000"/>
        </a:schemeClr>
      </a:solidFill>
    </a:ln>
    <a:effectLst/>
    <a:scene3d>
      <a:camera prst="orthographicFront"/>
      <a:lightRig rig="threePt" dir="t"/>
    </a:scene3d>
    <a:sp3d prstMaterial="matte"/>
  </c:sp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A113EE271D104184C1F7B50FBC1508" ma:contentTypeVersion="0" ma:contentTypeDescription="Umožňuje vytvoriť nový dokument." ma:contentTypeScope="" ma:versionID="a7396eb7af52a69ecdfbde0cf5b1fd2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7FA6B-8FBA-4A8E-8D07-CD81BD9A6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6EA81B-DB98-4C89-8EBB-03D0DE920253}">
  <ds:schemaRefs>
    <ds:schemaRef ds:uri="http://schemas.microsoft.com/sharepoint/v3/contenttype/forms"/>
  </ds:schemaRefs>
</ds:datastoreItem>
</file>

<file path=customXml/itemProps3.xml><?xml version="1.0" encoding="utf-8"?>
<ds:datastoreItem xmlns:ds="http://schemas.openxmlformats.org/officeDocument/2006/customXml" ds:itemID="{4958A9AE-5BB1-4611-BB08-1739A922AD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085A61-92BE-4329-B17C-C0FE04BA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10989</Words>
  <Characters>62643</Characters>
  <Application>Microsoft Office Word</Application>
  <DocSecurity>0</DocSecurity>
  <Lines>522</Lines>
  <Paragraphs>146</Paragraphs>
  <ScaleCrop>false</ScaleCrop>
  <HeadingPairs>
    <vt:vector size="2" baseType="variant">
      <vt:variant>
        <vt:lpstr>Názov</vt:lpstr>
      </vt:variant>
      <vt:variant>
        <vt:i4>1</vt:i4>
      </vt:variant>
    </vt:vector>
  </HeadingPairs>
  <TitlesOfParts>
    <vt:vector size="1" baseType="lpstr">
      <vt:lpstr>013-VS FSJ za rok 2014.docx</vt:lpstr>
    </vt:vector>
  </TitlesOfParts>
  <Company>MVSR</Company>
  <LinksUpToDate>false</LinksUpToDate>
  <CharactersWithSpaces>73486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013-VS FSJ za rok 2014.docx</dc:title>
  <dc:creator>Admin</dc:creator>
  <cp:lastModifiedBy>Robo</cp:lastModifiedBy>
  <cp:revision>7</cp:revision>
  <cp:lastPrinted>2015-05-04T12:28:00Z</cp:lastPrinted>
  <dcterms:created xsi:type="dcterms:W3CDTF">2015-03-02T09:34:00Z</dcterms:created>
  <dcterms:modified xsi:type="dcterms:W3CDTF">2015-05-04T12:29:00Z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0x01010060A113EE271D104184C1F7B50FBC1508</vt:lpwstr>
  </property>
</Properties>
</file>